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FAD87" w14:textId="5D197129" w:rsidR="00646152" w:rsidRPr="00646152" w:rsidRDefault="00E212C1" w:rsidP="00E212C1">
      <w:pPr>
        <w:spacing w:after="0" w:line="240" w:lineRule="auto"/>
        <w:jc w:val="center"/>
        <w:rPr>
          <w:rFonts w:ascii="Arial Narrow" w:hAnsi="Arial Narrow" w:cs="Times New Roman"/>
          <w:b/>
          <w:sz w:val="24"/>
          <w:szCs w:val="24"/>
        </w:rPr>
      </w:pPr>
      <w:r w:rsidRPr="00646152">
        <w:rPr>
          <w:rFonts w:ascii="Arial Narrow" w:eastAsia="Century Gothic" w:hAnsi="Arial Narrow"/>
          <w:b/>
          <w:color w:val="000000"/>
          <w:sz w:val="24"/>
          <w:szCs w:val="24"/>
          <w:lang w:val="es-CO"/>
        </w:rPr>
        <w:t xml:space="preserve">TEXTO APROBADO EN PRIMER DEBATE EN LA COMISIÓN PRIMERA DE LA CÁMARA DE REPRESENTANTES DEL </w:t>
      </w:r>
      <w:r w:rsidR="00CC6BEA">
        <w:rPr>
          <w:rFonts w:ascii="Arial Narrow" w:eastAsia="Century Gothic" w:hAnsi="Arial Narrow"/>
          <w:b/>
          <w:color w:val="000000"/>
          <w:sz w:val="24"/>
          <w:szCs w:val="24"/>
        </w:rPr>
        <w:t>PROYECTO DE LEY ESTATUTARIA No</w:t>
      </w:r>
      <w:r w:rsidRPr="00646152">
        <w:rPr>
          <w:rFonts w:ascii="Arial Narrow" w:eastAsia="Century Gothic" w:hAnsi="Arial Narrow"/>
          <w:b/>
          <w:color w:val="000000"/>
          <w:sz w:val="24"/>
          <w:szCs w:val="24"/>
        </w:rPr>
        <w:t>.</w:t>
      </w:r>
      <w:r w:rsidRPr="00646152">
        <w:rPr>
          <w:rFonts w:ascii="Arial Narrow" w:hAnsi="Arial Narrow" w:cs="Times New Roman"/>
          <w:b/>
          <w:sz w:val="24"/>
          <w:szCs w:val="24"/>
        </w:rPr>
        <w:t xml:space="preserve"> </w:t>
      </w:r>
      <w:r w:rsidRPr="00646152">
        <w:rPr>
          <w:rFonts w:ascii="Arial Narrow" w:eastAsia="Arial Narrow" w:hAnsi="Arial Narrow" w:cs="Arial Narrow"/>
          <w:b/>
          <w:color w:val="000000"/>
          <w:sz w:val="24"/>
          <w:szCs w:val="24"/>
          <w:lang w:val="es-CO" w:eastAsia="en-US"/>
        </w:rPr>
        <w:t>205 DE 2024 CÁMARA</w:t>
      </w:r>
    </w:p>
    <w:p w14:paraId="0F00FB39" w14:textId="5ADF4EB0" w:rsidR="00646152" w:rsidRPr="00646152" w:rsidRDefault="00E212C1" w:rsidP="00E212C1">
      <w:pPr>
        <w:pBdr>
          <w:top w:val="nil"/>
          <w:left w:val="nil"/>
          <w:bottom w:val="nil"/>
          <w:right w:val="nil"/>
          <w:between w:val="nil"/>
        </w:pBdr>
        <w:spacing w:after="0" w:line="240" w:lineRule="auto"/>
        <w:jc w:val="center"/>
        <w:rPr>
          <w:rFonts w:ascii="Arial Narrow" w:eastAsia="Arial Narrow" w:hAnsi="Arial Narrow" w:cs="Arial Narrow"/>
          <w:b/>
          <w:color w:val="000000"/>
          <w:sz w:val="24"/>
          <w:szCs w:val="24"/>
          <w:lang w:val="es-CO" w:eastAsia="en-US"/>
        </w:rPr>
      </w:pPr>
      <w:r w:rsidRPr="00646152">
        <w:rPr>
          <w:rFonts w:ascii="Arial Narrow" w:eastAsia="Arial Narrow" w:hAnsi="Arial Narrow" w:cs="Arial Narrow"/>
          <w:b/>
          <w:color w:val="000000"/>
          <w:sz w:val="24"/>
          <w:szCs w:val="24"/>
          <w:lang w:val="es-CO" w:eastAsia="en-US"/>
        </w:rPr>
        <w:t>“POR MEDIO DEL CUAL SE CREA EL RÉGIMEN TRANSITORIO</w:t>
      </w:r>
      <w:r w:rsidR="007A3E37">
        <w:rPr>
          <w:rFonts w:ascii="Arial Narrow" w:eastAsia="Arial Narrow" w:hAnsi="Arial Narrow" w:cs="Arial Narrow"/>
          <w:b/>
          <w:color w:val="000000"/>
          <w:sz w:val="24"/>
          <w:szCs w:val="24"/>
          <w:lang w:val="es-CO" w:eastAsia="en-US"/>
        </w:rPr>
        <w:t xml:space="preserve"> DE</w:t>
      </w:r>
      <w:r w:rsidRPr="00646152">
        <w:rPr>
          <w:rFonts w:ascii="Arial Narrow" w:eastAsia="Arial Narrow" w:hAnsi="Arial Narrow" w:cs="Arial Narrow"/>
          <w:b/>
          <w:color w:val="000000"/>
          <w:sz w:val="24"/>
          <w:szCs w:val="24"/>
          <w:lang w:val="es-CO" w:eastAsia="en-US"/>
        </w:rPr>
        <w:t xml:space="preserve"> BORRÓN Y CUENTA NUEVA 2.0</w:t>
      </w:r>
      <w:r w:rsidR="007A3E37">
        <w:rPr>
          <w:rFonts w:ascii="Arial Narrow" w:eastAsia="Arial Narrow" w:hAnsi="Arial Narrow" w:cs="Arial Narrow"/>
          <w:b/>
          <w:color w:val="000000"/>
          <w:sz w:val="24"/>
          <w:szCs w:val="24"/>
          <w:lang w:val="es-CO" w:eastAsia="en-US"/>
        </w:rPr>
        <w:t xml:space="preserve"> Y SE MODIFICA LA LEY ESTATUTARIA 1266 DE 2008</w:t>
      </w:r>
      <w:r w:rsidRPr="00646152">
        <w:rPr>
          <w:rFonts w:ascii="Arial Narrow" w:eastAsia="Arial Narrow" w:hAnsi="Arial Narrow" w:cs="Arial Narrow"/>
          <w:b/>
          <w:color w:val="000000"/>
          <w:sz w:val="24"/>
          <w:szCs w:val="24"/>
          <w:lang w:val="es-CO" w:eastAsia="en-US"/>
        </w:rPr>
        <w:t>”.</w:t>
      </w:r>
    </w:p>
    <w:p w14:paraId="7115144F" w14:textId="4256E648" w:rsidR="007A3E37" w:rsidRDefault="007A3E37" w:rsidP="00E212C1">
      <w:pPr>
        <w:spacing w:after="0" w:line="240" w:lineRule="auto"/>
        <w:jc w:val="center"/>
        <w:rPr>
          <w:rFonts w:ascii="Arial Narrow" w:eastAsia="Arial Narrow" w:hAnsi="Arial Narrow" w:cs="Arial Narrow"/>
          <w:b/>
          <w:sz w:val="24"/>
          <w:szCs w:val="24"/>
          <w:lang w:val="es-CO" w:eastAsia="en-US"/>
        </w:rPr>
      </w:pPr>
    </w:p>
    <w:p w14:paraId="1ACD3751" w14:textId="77777777" w:rsidR="007A3E37" w:rsidRDefault="007A3E37" w:rsidP="00E212C1">
      <w:pPr>
        <w:spacing w:after="0" w:line="240" w:lineRule="auto"/>
        <w:jc w:val="center"/>
        <w:rPr>
          <w:rFonts w:ascii="Arial Narrow" w:eastAsia="Arial Narrow" w:hAnsi="Arial Narrow" w:cs="Arial Narrow"/>
          <w:b/>
          <w:sz w:val="24"/>
          <w:szCs w:val="24"/>
          <w:lang w:val="es-CO" w:eastAsia="en-US"/>
        </w:rPr>
      </w:pPr>
    </w:p>
    <w:p w14:paraId="33B271C1" w14:textId="01C80283" w:rsidR="00646152" w:rsidRPr="00646152" w:rsidRDefault="00E212C1" w:rsidP="00E212C1">
      <w:pPr>
        <w:spacing w:after="0" w:line="240" w:lineRule="auto"/>
        <w:jc w:val="center"/>
        <w:rPr>
          <w:rFonts w:ascii="Arial Narrow" w:eastAsia="Arial Narrow" w:hAnsi="Arial Narrow" w:cs="Arial Narrow"/>
          <w:b/>
          <w:sz w:val="24"/>
          <w:szCs w:val="24"/>
          <w:lang w:val="es-CO" w:eastAsia="en-US"/>
        </w:rPr>
      </w:pPr>
      <w:r w:rsidRPr="00646152">
        <w:rPr>
          <w:rFonts w:ascii="Arial Narrow" w:eastAsia="Arial Narrow" w:hAnsi="Arial Narrow" w:cs="Arial Narrow"/>
          <w:b/>
          <w:sz w:val="24"/>
          <w:szCs w:val="24"/>
          <w:lang w:val="es-CO" w:eastAsia="en-US"/>
        </w:rPr>
        <w:t>EL CONGRESO DE COLOMBIA</w:t>
      </w:r>
    </w:p>
    <w:p w14:paraId="25A06EA4" w14:textId="4769FABF" w:rsidR="007A3E37" w:rsidRDefault="007A3E37" w:rsidP="00E212C1">
      <w:pPr>
        <w:spacing w:after="0" w:line="240" w:lineRule="auto"/>
        <w:jc w:val="center"/>
        <w:rPr>
          <w:rFonts w:ascii="Arial Narrow" w:eastAsia="Arial Narrow" w:hAnsi="Arial Narrow" w:cs="Arial Narrow"/>
          <w:b/>
          <w:sz w:val="24"/>
          <w:szCs w:val="24"/>
          <w:lang w:val="es-CO" w:eastAsia="en-US"/>
        </w:rPr>
      </w:pPr>
    </w:p>
    <w:p w14:paraId="47C53B7E" w14:textId="77777777" w:rsidR="00CC6BEA" w:rsidRDefault="00CC6BEA" w:rsidP="00E212C1">
      <w:pPr>
        <w:spacing w:after="0" w:line="240" w:lineRule="auto"/>
        <w:jc w:val="center"/>
        <w:rPr>
          <w:rFonts w:ascii="Arial Narrow" w:eastAsia="Arial Narrow" w:hAnsi="Arial Narrow" w:cs="Arial Narrow"/>
          <w:b/>
          <w:sz w:val="24"/>
          <w:szCs w:val="24"/>
          <w:lang w:val="es-CO" w:eastAsia="en-US"/>
        </w:rPr>
      </w:pPr>
    </w:p>
    <w:p w14:paraId="5FC2CDDB" w14:textId="2016CC18" w:rsidR="00646152" w:rsidRDefault="00E212C1" w:rsidP="00E212C1">
      <w:pPr>
        <w:spacing w:after="0" w:line="240" w:lineRule="auto"/>
        <w:jc w:val="center"/>
        <w:rPr>
          <w:rFonts w:ascii="Arial Narrow" w:eastAsia="Arial Narrow" w:hAnsi="Arial Narrow" w:cs="Arial Narrow"/>
          <w:b/>
          <w:sz w:val="24"/>
          <w:szCs w:val="24"/>
          <w:lang w:val="es-CO" w:eastAsia="en-US"/>
        </w:rPr>
      </w:pPr>
      <w:r w:rsidRPr="00646152">
        <w:rPr>
          <w:rFonts w:ascii="Arial Narrow" w:eastAsia="Arial Narrow" w:hAnsi="Arial Narrow" w:cs="Arial Narrow"/>
          <w:b/>
          <w:sz w:val="24"/>
          <w:szCs w:val="24"/>
          <w:lang w:val="es-CO" w:eastAsia="en-US"/>
        </w:rPr>
        <w:t>DECRETA:</w:t>
      </w:r>
    </w:p>
    <w:p w14:paraId="6BC2964B" w14:textId="707DE91A" w:rsidR="007A3E37" w:rsidRDefault="007A3E37" w:rsidP="00E212C1">
      <w:pPr>
        <w:spacing w:after="0" w:line="240" w:lineRule="auto"/>
        <w:jc w:val="center"/>
        <w:rPr>
          <w:rFonts w:ascii="Arial Narrow" w:eastAsia="Arial Narrow" w:hAnsi="Arial Narrow" w:cs="Arial Narrow"/>
          <w:b/>
          <w:sz w:val="24"/>
          <w:szCs w:val="24"/>
          <w:lang w:val="es-CO" w:eastAsia="en-US"/>
        </w:rPr>
      </w:pPr>
    </w:p>
    <w:p w14:paraId="29647957" w14:textId="77777777" w:rsidR="007A3E37" w:rsidRPr="00646152" w:rsidRDefault="007A3E37" w:rsidP="00E212C1">
      <w:pPr>
        <w:spacing w:after="0" w:line="240" w:lineRule="auto"/>
        <w:jc w:val="center"/>
        <w:rPr>
          <w:rFonts w:ascii="Arial Narrow" w:eastAsia="Arial Narrow" w:hAnsi="Arial Narrow" w:cs="Arial Narrow"/>
          <w:b/>
          <w:sz w:val="24"/>
          <w:szCs w:val="24"/>
          <w:lang w:val="es-CO" w:eastAsia="en-US"/>
        </w:rPr>
      </w:pPr>
    </w:p>
    <w:p w14:paraId="4F60351B" w14:textId="72D23E5F" w:rsidR="00646152" w:rsidRDefault="007A3E37" w:rsidP="00227784">
      <w:pPr>
        <w:spacing w:after="0" w:line="240" w:lineRule="auto"/>
        <w:jc w:val="both"/>
        <w:rPr>
          <w:rFonts w:ascii="Arial Narrow" w:eastAsia="Arial Narrow" w:hAnsi="Arial Narrow" w:cs="Arial Narrow"/>
          <w:b/>
          <w:lang w:val="es-CO" w:eastAsia="en-US"/>
        </w:rPr>
      </w:pPr>
      <w:r>
        <w:rPr>
          <w:rFonts w:ascii="Arial Narrow" w:eastAsia="Arial Narrow" w:hAnsi="Arial Narrow" w:cs="Arial Narrow"/>
          <w:b/>
          <w:lang w:val="es-CO" w:eastAsia="en-US"/>
        </w:rPr>
        <w:t>Ar</w:t>
      </w:r>
      <w:r w:rsidR="00646152" w:rsidRPr="00646152">
        <w:rPr>
          <w:rFonts w:ascii="Arial Narrow" w:eastAsia="Arial Narrow" w:hAnsi="Arial Narrow" w:cs="Arial Narrow"/>
          <w:b/>
          <w:lang w:val="es-CO" w:eastAsia="en-US"/>
        </w:rPr>
        <w:t xml:space="preserve">tículo 1°. Objeto. </w:t>
      </w:r>
      <w:r w:rsidR="00646152" w:rsidRPr="00646152">
        <w:rPr>
          <w:rFonts w:ascii="Arial Narrow" w:eastAsia="Arial Narrow" w:hAnsi="Arial Narrow" w:cs="Arial Narrow"/>
          <w:lang w:val="es-CO" w:eastAsia="en-US"/>
        </w:rPr>
        <w:t>La presente ley tiene por objeto crear un régimen transitorio que permita e</w:t>
      </w:r>
      <w:r w:rsidR="00BE02D6">
        <w:rPr>
          <w:rFonts w:ascii="Arial Narrow" w:eastAsia="Arial Narrow" w:hAnsi="Arial Narrow" w:cs="Arial Narrow"/>
          <w:lang w:val="es-CO" w:eastAsia="en-US"/>
        </w:rPr>
        <w:t>l retiro del reporte negativo en</w:t>
      </w:r>
      <w:r w:rsidR="00646152" w:rsidRPr="00646152">
        <w:rPr>
          <w:rFonts w:ascii="Arial Narrow" w:eastAsia="Arial Narrow" w:hAnsi="Arial Narrow" w:cs="Arial Narrow"/>
          <w:lang w:val="es-CO" w:eastAsia="en-US"/>
        </w:rPr>
        <w:t xml:space="preserve"> los bancos de datos de </w:t>
      </w:r>
      <w:r w:rsidR="00BE02D6">
        <w:rPr>
          <w:rFonts w:ascii="Arial Narrow" w:eastAsia="Arial Narrow" w:hAnsi="Arial Narrow" w:cs="Arial Narrow"/>
          <w:lang w:val="es-CO" w:eastAsia="en-US"/>
        </w:rPr>
        <w:t xml:space="preserve">los operadores de información y fuentes de información los respectivos </w:t>
      </w:r>
      <w:r w:rsidR="00646152" w:rsidRPr="00646152">
        <w:rPr>
          <w:rFonts w:ascii="Arial Narrow" w:eastAsia="Arial Narrow" w:hAnsi="Arial Narrow" w:cs="Arial Narrow"/>
          <w:lang w:val="es-CO" w:eastAsia="en-US"/>
        </w:rPr>
        <w:t>historiales crediticios de los deudores morosos, luego de la extinción de las deudas con entidades financieras, crediticias, comerciales y de servicios, y se incentiva al pago de acreencias y reactivación de la vida crediticia.</w:t>
      </w:r>
      <w:r w:rsidR="00646152" w:rsidRPr="00646152">
        <w:rPr>
          <w:rFonts w:ascii="Arial Narrow" w:eastAsia="Arial Narrow" w:hAnsi="Arial Narrow" w:cs="Arial Narrow"/>
          <w:b/>
          <w:lang w:val="es-CO" w:eastAsia="en-US"/>
        </w:rPr>
        <w:t xml:space="preserve"> </w:t>
      </w:r>
    </w:p>
    <w:p w14:paraId="5120B58E" w14:textId="77777777" w:rsidR="00BE02D6" w:rsidRPr="00646152" w:rsidRDefault="00BE02D6" w:rsidP="00227784">
      <w:pPr>
        <w:spacing w:after="0" w:line="240" w:lineRule="auto"/>
        <w:jc w:val="both"/>
        <w:rPr>
          <w:rFonts w:ascii="Arial Narrow" w:eastAsia="Arial Narrow" w:hAnsi="Arial Narrow" w:cs="Arial Narrow"/>
          <w:b/>
          <w:lang w:val="es-CO" w:eastAsia="en-US"/>
        </w:rPr>
      </w:pPr>
    </w:p>
    <w:p w14:paraId="5C210206" w14:textId="77777777" w:rsidR="002619F2" w:rsidRDefault="002619F2" w:rsidP="00227784">
      <w:pPr>
        <w:spacing w:after="0" w:line="240" w:lineRule="auto"/>
        <w:jc w:val="both"/>
        <w:rPr>
          <w:rFonts w:ascii="Arial Narrow" w:eastAsia="Arial Narrow" w:hAnsi="Arial Narrow" w:cs="Arial Narrow"/>
          <w:b/>
          <w:lang w:val="es-CO" w:eastAsia="en-US"/>
        </w:rPr>
      </w:pPr>
    </w:p>
    <w:p w14:paraId="38E231E3" w14:textId="280B7F57" w:rsidR="00646152" w:rsidRPr="00646152" w:rsidRDefault="00646152" w:rsidP="00227784">
      <w:pPr>
        <w:spacing w:after="0" w:line="240" w:lineRule="auto"/>
        <w:jc w:val="both"/>
        <w:rPr>
          <w:rFonts w:ascii="Arial Narrow" w:eastAsia="Arial Narrow" w:hAnsi="Arial Narrow" w:cs="Arial Narrow"/>
          <w:lang w:val="es-CO" w:eastAsia="en-US"/>
        </w:rPr>
      </w:pPr>
      <w:r w:rsidRPr="00646152">
        <w:rPr>
          <w:rFonts w:ascii="Arial Narrow" w:eastAsia="Arial Narrow" w:hAnsi="Arial Narrow" w:cs="Arial Narrow"/>
          <w:b/>
          <w:lang w:val="es-CO" w:eastAsia="en-US"/>
        </w:rPr>
        <w:t xml:space="preserve">Artículo 2°. Régimen Transitorio. </w:t>
      </w:r>
      <w:r w:rsidRPr="00646152">
        <w:rPr>
          <w:rFonts w:ascii="Arial Narrow" w:eastAsia="Arial Narrow" w:hAnsi="Arial Narrow" w:cs="Arial Narrow"/>
          <w:lang w:val="es-CO" w:eastAsia="en-US"/>
        </w:rPr>
        <w:t xml:space="preserve">Los titulares de la información que extingan sus obligaciones objeto de reporte con entidades financieras, crediticias, comerciales y de servicios dentro de los doce (12) meses siguientes a la entrada en vigencia de la presente ley, permanecerán con dicha información negativa en los bancos de datos </w:t>
      </w:r>
      <w:r w:rsidR="00D90D01">
        <w:rPr>
          <w:rFonts w:ascii="Arial Narrow" w:eastAsia="Arial Narrow" w:hAnsi="Arial Narrow" w:cs="Arial Narrow"/>
          <w:lang w:val="es-CO" w:eastAsia="en-US"/>
        </w:rPr>
        <w:t xml:space="preserve">de los operadores de información y fuentes de información los respectivos </w:t>
      </w:r>
      <w:r w:rsidRPr="00646152">
        <w:rPr>
          <w:rFonts w:ascii="Arial Narrow" w:eastAsia="Arial Narrow" w:hAnsi="Arial Narrow" w:cs="Arial Narrow"/>
          <w:lang w:val="es-CO" w:eastAsia="en-US"/>
        </w:rPr>
        <w:t>por un término máximo de dos (2) meses</w:t>
      </w:r>
      <w:r w:rsidR="00D90D01">
        <w:rPr>
          <w:rFonts w:ascii="Arial Narrow" w:eastAsia="Arial Narrow" w:hAnsi="Arial Narrow" w:cs="Arial Narrow"/>
          <w:lang w:val="es-CO" w:eastAsia="en-US"/>
        </w:rPr>
        <w:t xml:space="preserve"> contados a partir de la fecha de extinción de tales obligaciones</w:t>
      </w:r>
      <w:r w:rsidRPr="00646152">
        <w:rPr>
          <w:rFonts w:ascii="Arial Narrow" w:eastAsia="Arial Narrow" w:hAnsi="Arial Narrow" w:cs="Arial Narrow"/>
          <w:lang w:val="es-CO" w:eastAsia="en-US"/>
        </w:rPr>
        <w:t>. Cumplido este plazo máximo de dos (2) meses, las entidades financieras</w:t>
      </w:r>
      <w:r w:rsidR="007C6DFE">
        <w:rPr>
          <w:rFonts w:ascii="Arial Narrow" w:eastAsia="Arial Narrow" w:hAnsi="Arial Narrow" w:cs="Arial Narrow"/>
          <w:lang w:val="es-CO" w:eastAsia="en-US"/>
        </w:rPr>
        <w:t>, crediticias, comerciales y de servicios</w:t>
      </w:r>
      <w:r w:rsidRPr="00646152">
        <w:rPr>
          <w:rFonts w:ascii="Arial Narrow" w:eastAsia="Arial Narrow" w:hAnsi="Arial Narrow" w:cs="Arial Narrow"/>
          <w:lang w:val="es-CO" w:eastAsia="en-US"/>
        </w:rPr>
        <w:t xml:space="preserve"> deberán realizar las gestiones pertinentes que permitan retirar su reporte negativo de los bancos de datos de historiales crediticios de manera inmediata. </w:t>
      </w:r>
    </w:p>
    <w:p w14:paraId="66C92DDD" w14:textId="77777777" w:rsidR="00227784" w:rsidRDefault="00227784" w:rsidP="00227784">
      <w:pPr>
        <w:spacing w:after="0" w:line="240" w:lineRule="auto"/>
        <w:jc w:val="both"/>
        <w:rPr>
          <w:rFonts w:ascii="Arial Narrow" w:eastAsia="Arial Narrow" w:hAnsi="Arial Narrow" w:cs="Arial Narrow"/>
          <w:b/>
          <w:lang w:val="es-CO" w:eastAsia="en-US"/>
        </w:rPr>
      </w:pPr>
    </w:p>
    <w:p w14:paraId="7DAE957E" w14:textId="1D0869A2" w:rsidR="005D177C" w:rsidRPr="005D177C" w:rsidRDefault="005D177C" w:rsidP="00227784">
      <w:pPr>
        <w:spacing w:after="0" w:line="240" w:lineRule="auto"/>
        <w:jc w:val="both"/>
        <w:rPr>
          <w:rFonts w:ascii="Arial Narrow" w:eastAsia="Arial Narrow" w:hAnsi="Arial Narrow" w:cs="Arial Narrow"/>
          <w:lang w:val="es-CO" w:eastAsia="en-US"/>
        </w:rPr>
      </w:pPr>
      <w:r>
        <w:rPr>
          <w:rFonts w:ascii="Arial Narrow" w:eastAsia="Arial Narrow" w:hAnsi="Arial Narrow" w:cs="Arial Narrow"/>
          <w:b/>
          <w:lang w:val="es-CO" w:eastAsia="en-US"/>
        </w:rPr>
        <w:t xml:space="preserve">Parágrafo. </w:t>
      </w:r>
      <w:r>
        <w:rPr>
          <w:rFonts w:ascii="Arial Narrow" w:eastAsia="Arial Narrow" w:hAnsi="Arial Narrow" w:cs="Arial Narrow"/>
          <w:lang w:val="es-CO" w:eastAsia="en-US"/>
        </w:rPr>
        <w:t>Los deudores que, en virtud de lo estipulado en este artículo, ex</w:t>
      </w:r>
      <w:r w:rsidR="007C6E19">
        <w:rPr>
          <w:rFonts w:ascii="Arial Narrow" w:eastAsia="Arial Narrow" w:hAnsi="Arial Narrow" w:cs="Arial Narrow"/>
          <w:lang w:val="es-CO" w:eastAsia="en-US"/>
        </w:rPr>
        <w:t>t</w:t>
      </w:r>
      <w:r>
        <w:rPr>
          <w:rFonts w:ascii="Arial Narrow" w:eastAsia="Arial Narrow" w:hAnsi="Arial Narrow" w:cs="Arial Narrow"/>
          <w:lang w:val="es-CO" w:eastAsia="en-US"/>
        </w:rPr>
        <w:t>i</w:t>
      </w:r>
      <w:r w:rsidR="007C6E19">
        <w:rPr>
          <w:rFonts w:ascii="Arial Narrow" w:eastAsia="Arial Narrow" w:hAnsi="Arial Narrow" w:cs="Arial Narrow"/>
          <w:lang w:val="es-CO" w:eastAsia="en-US"/>
        </w:rPr>
        <w:t>n</w:t>
      </w:r>
      <w:r>
        <w:rPr>
          <w:rFonts w:ascii="Arial Narrow" w:eastAsia="Arial Narrow" w:hAnsi="Arial Narrow" w:cs="Arial Narrow"/>
          <w:lang w:val="es-CO" w:eastAsia="en-US"/>
        </w:rPr>
        <w:t>gan o hayan ex</w:t>
      </w:r>
      <w:r w:rsidR="007C6E19">
        <w:rPr>
          <w:rFonts w:ascii="Arial Narrow" w:eastAsia="Arial Narrow" w:hAnsi="Arial Narrow" w:cs="Arial Narrow"/>
          <w:lang w:val="es-CO" w:eastAsia="en-US"/>
        </w:rPr>
        <w:t>t</w:t>
      </w:r>
      <w:r>
        <w:rPr>
          <w:rFonts w:ascii="Arial Narrow" w:eastAsia="Arial Narrow" w:hAnsi="Arial Narrow" w:cs="Arial Narrow"/>
          <w:lang w:val="es-CO" w:eastAsia="en-US"/>
        </w:rPr>
        <w:t>i</w:t>
      </w:r>
      <w:r w:rsidR="007C6DFE">
        <w:rPr>
          <w:rFonts w:ascii="Arial Narrow" w:eastAsia="Arial Narrow" w:hAnsi="Arial Narrow" w:cs="Arial Narrow"/>
          <w:lang w:val="es-CO" w:eastAsia="en-US"/>
        </w:rPr>
        <w:t>n</w:t>
      </w:r>
      <w:r>
        <w:rPr>
          <w:rFonts w:ascii="Arial Narrow" w:eastAsia="Arial Narrow" w:hAnsi="Arial Narrow" w:cs="Arial Narrow"/>
          <w:lang w:val="es-CO" w:eastAsia="en-US"/>
        </w:rPr>
        <w:t>g</w:t>
      </w:r>
      <w:r w:rsidR="007C6E19">
        <w:rPr>
          <w:rFonts w:ascii="Arial Narrow" w:eastAsia="Arial Narrow" w:hAnsi="Arial Narrow" w:cs="Arial Narrow"/>
          <w:lang w:val="es-CO" w:eastAsia="en-US"/>
        </w:rPr>
        <w:t>u</w:t>
      </w:r>
      <w:r>
        <w:rPr>
          <w:rFonts w:ascii="Arial Narrow" w:eastAsia="Arial Narrow" w:hAnsi="Arial Narrow" w:cs="Arial Narrow"/>
          <w:lang w:val="es-CO" w:eastAsia="en-US"/>
        </w:rPr>
        <w:t>ido sus obligaciones reportadas a entidades financieras, crediticias, comerciales y de servicios, y cuyas entidades no eliminen, o se nieguen a eliminar, el reporte negativo en por los bancos de datos de los operadores de información y fuentes de información en los términos establecidos, podrán presentar una queja formal ante la Superintendencia de Industria y Comercio. Estas quejas podrán dirigirse a las fuentes, operadores, usuarios o centrales de riesgo por la no extinción de la deuda o la mora con sus acreedores según lo establecido en la ley.</w:t>
      </w:r>
    </w:p>
    <w:p w14:paraId="24C1D059" w14:textId="77777777" w:rsidR="002619F2" w:rsidRDefault="002619F2" w:rsidP="00227784">
      <w:pPr>
        <w:spacing w:after="0" w:line="240" w:lineRule="auto"/>
        <w:jc w:val="both"/>
        <w:rPr>
          <w:rFonts w:ascii="Arial Narrow" w:eastAsia="Arial Narrow" w:hAnsi="Arial Narrow" w:cs="Arial Narrow"/>
          <w:b/>
          <w:lang w:val="es-CO" w:eastAsia="en-US"/>
        </w:rPr>
      </w:pPr>
    </w:p>
    <w:p w14:paraId="5992596E" w14:textId="77777777" w:rsidR="00227784" w:rsidRDefault="00227784" w:rsidP="00227784">
      <w:pPr>
        <w:spacing w:after="0" w:line="240" w:lineRule="auto"/>
        <w:jc w:val="both"/>
        <w:rPr>
          <w:rFonts w:ascii="Arial Narrow" w:eastAsia="Arial Narrow" w:hAnsi="Arial Narrow" w:cs="Arial Narrow"/>
          <w:b/>
          <w:lang w:val="es-CO" w:eastAsia="en-US"/>
        </w:rPr>
      </w:pPr>
    </w:p>
    <w:p w14:paraId="58A0AC94" w14:textId="3437BE75" w:rsidR="00646152" w:rsidRPr="00646152" w:rsidRDefault="00646152" w:rsidP="00227784">
      <w:pPr>
        <w:spacing w:after="0" w:line="240" w:lineRule="auto"/>
        <w:jc w:val="both"/>
        <w:rPr>
          <w:rFonts w:ascii="Arial Narrow" w:eastAsia="Arial Narrow" w:hAnsi="Arial Narrow" w:cs="Arial Narrow"/>
          <w:lang w:val="es-CO" w:eastAsia="en-US"/>
        </w:rPr>
      </w:pPr>
      <w:r w:rsidRPr="00646152">
        <w:rPr>
          <w:rFonts w:ascii="Arial Narrow" w:eastAsia="Arial Narrow" w:hAnsi="Arial Narrow" w:cs="Arial Narrow"/>
          <w:b/>
          <w:lang w:val="es-CO" w:eastAsia="en-US"/>
        </w:rPr>
        <w:t xml:space="preserve">Artículo 3º. </w:t>
      </w:r>
      <w:r w:rsidRPr="00646152">
        <w:rPr>
          <w:rFonts w:ascii="Arial Narrow" w:eastAsia="Arial Narrow" w:hAnsi="Arial Narrow" w:cs="Arial Narrow"/>
          <w:lang w:val="es-CO" w:eastAsia="en-US"/>
        </w:rPr>
        <w:t>Los titulares de la información que, a la entrada en vigencia de la presente ley, hayan extinguido sus obligaciones objeto de reporte, serán beneficiarios de la eliminación de su información negativa, esta se les deberá retirar de manera automática e inmediata de los bancos de datos de historiales crediticios.</w:t>
      </w:r>
    </w:p>
    <w:p w14:paraId="1D366D51" w14:textId="77777777" w:rsidR="00227784" w:rsidRDefault="00227784" w:rsidP="00227784">
      <w:pPr>
        <w:spacing w:after="0" w:line="240" w:lineRule="auto"/>
        <w:jc w:val="both"/>
        <w:rPr>
          <w:rFonts w:ascii="Arial Narrow" w:eastAsia="Arial Narrow" w:hAnsi="Arial Narrow" w:cs="Arial Narrow"/>
          <w:b/>
          <w:lang w:val="es-CO" w:eastAsia="en-US"/>
        </w:rPr>
      </w:pPr>
      <w:bookmarkStart w:id="0" w:name="_GoBack"/>
      <w:bookmarkEnd w:id="0"/>
    </w:p>
    <w:p w14:paraId="483CDE78" w14:textId="75C4E29C" w:rsidR="007C6DFE" w:rsidRPr="007C6DFE" w:rsidRDefault="007C6DFE" w:rsidP="00227784">
      <w:pPr>
        <w:spacing w:after="0" w:line="240" w:lineRule="auto"/>
        <w:jc w:val="both"/>
        <w:rPr>
          <w:rFonts w:ascii="Arial Narrow" w:eastAsia="Arial Narrow" w:hAnsi="Arial Narrow" w:cs="Arial Narrow"/>
          <w:lang w:val="es-CO" w:eastAsia="en-US"/>
        </w:rPr>
      </w:pPr>
      <w:r>
        <w:rPr>
          <w:rFonts w:ascii="Arial Narrow" w:eastAsia="Arial Narrow" w:hAnsi="Arial Narrow" w:cs="Arial Narrow"/>
          <w:b/>
          <w:lang w:val="es-CO" w:eastAsia="en-US"/>
        </w:rPr>
        <w:t xml:space="preserve">Parágrafo. </w:t>
      </w:r>
      <w:r>
        <w:rPr>
          <w:rFonts w:ascii="Arial Narrow" w:eastAsia="Arial Narrow" w:hAnsi="Arial Narrow" w:cs="Arial Narrow"/>
          <w:lang w:val="es-CO" w:eastAsia="en-US"/>
        </w:rPr>
        <w:t>Tratándose de obligaciones que se encuentren debidamente canceladas y estén siendo objeto de cobro pre-jurídico, el acreedor deberá reportar el pago a la persona, natural o jurídica, que esté realizando la gestión de cobro, la cual deberá cesar de manera inmediata.</w:t>
      </w:r>
    </w:p>
    <w:p w14:paraId="14B8CAF2" w14:textId="77777777" w:rsidR="00227784" w:rsidRDefault="00227784" w:rsidP="00227784">
      <w:pPr>
        <w:spacing w:after="0" w:line="240" w:lineRule="auto"/>
        <w:jc w:val="both"/>
        <w:rPr>
          <w:rFonts w:ascii="Arial Narrow" w:eastAsia="Arial Narrow" w:hAnsi="Arial Narrow" w:cs="Arial Narrow"/>
          <w:b/>
          <w:lang w:val="es-CO" w:eastAsia="en-US"/>
        </w:rPr>
      </w:pPr>
    </w:p>
    <w:p w14:paraId="51E66C2F" w14:textId="77777777" w:rsidR="006B3D11" w:rsidRDefault="006B3D11" w:rsidP="00227784">
      <w:pPr>
        <w:spacing w:after="0" w:line="240" w:lineRule="auto"/>
        <w:jc w:val="both"/>
        <w:rPr>
          <w:rFonts w:ascii="Arial Narrow" w:eastAsia="Arial Narrow" w:hAnsi="Arial Narrow" w:cs="Arial Narrow"/>
          <w:b/>
          <w:lang w:val="es-CO" w:eastAsia="en-US"/>
        </w:rPr>
      </w:pPr>
    </w:p>
    <w:p w14:paraId="27097ED0" w14:textId="4E814FFD" w:rsidR="00646152" w:rsidRPr="00646152" w:rsidRDefault="00646152" w:rsidP="00227784">
      <w:pPr>
        <w:spacing w:after="0" w:line="240" w:lineRule="auto"/>
        <w:jc w:val="both"/>
        <w:rPr>
          <w:rFonts w:ascii="Arial Narrow" w:eastAsia="Arial Narrow" w:hAnsi="Arial Narrow" w:cs="Arial Narrow"/>
          <w:b/>
          <w:lang w:val="es-CO" w:eastAsia="en-US"/>
        </w:rPr>
      </w:pPr>
      <w:r w:rsidRPr="00646152">
        <w:rPr>
          <w:rFonts w:ascii="Arial Narrow" w:eastAsia="Arial Narrow" w:hAnsi="Arial Narrow" w:cs="Arial Narrow"/>
          <w:b/>
          <w:lang w:val="es-CO" w:eastAsia="en-US"/>
        </w:rPr>
        <w:lastRenderedPageBreak/>
        <w:t xml:space="preserve">Artículo 4º. </w:t>
      </w:r>
      <w:r w:rsidRPr="00646152">
        <w:rPr>
          <w:rFonts w:ascii="Arial Narrow" w:eastAsiaTheme="minorHAnsi" w:hAnsi="Arial Narrow" w:cstheme="minorBidi"/>
          <w:color w:val="000000"/>
          <w:bdr w:val="none" w:sz="0" w:space="0" w:color="auto" w:frame="1"/>
          <w:lang w:val="es-ES" w:eastAsia="en-US"/>
        </w:rPr>
        <w:t>Corresponderá a las centrales de riesgo realizar la eliminación o retiro al reporte negativo de que trata la presente ley. Igualmente, deberán notificar por medios idóneos a los usuarios cuando se eliminen datos negativos de sus reportes de crédito.</w:t>
      </w:r>
    </w:p>
    <w:p w14:paraId="40AFBC0B" w14:textId="77777777" w:rsidR="002619F2" w:rsidRDefault="002619F2" w:rsidP="00227784">
      <w:pPr>
        <w:spacing w:after="0" w:line="240" w:lineRule="auto"/>
        <w:jc w:val="both"/>
        <w:rPr>
          <w:rFonts w:ascii="Arial Narrow" w:eastAsia="Arial Narrow" w:hAnsi="Arial Narrow" w:cs="Arial Narrow"/>
          <w:b/>
          <w:lang w:val="es-CO" w:eastAsia="en-US"/>
        </w:rPr>
      </w:pPr>
    </w:p>
    <w:p w14:paraId="7A78CCA8" w14:textId="77777777" w:rsidR="00227784" w:rsidRDefault="00227784" w:rsidP="00227784">
      <w:pPr>
        <w:spacing w:after="0" w:line="240" w:lineRule="auto"/>
        <w:jc w:val="both"/>
        <w:rPr>
          <w:rFonts w:ascii="Arial Narrow" w:eastAsia="Arial Narrow" w:hAnsi="Arial Narrow" w:cs="Arial Narrow"/>
          <w:b/>
          <w:lang w:val="es-CO" w:eastAsia="en-US"/>
        </w:rPr>
      </w:pPr>
    </w:p>
    <w:p w14:paraId="3252AB42" w14:textId="2F16CB20" w:rsidR="00646152" w:rsidRPr="00646152" w:rsidRDefault="00646152" w:rsidP="00227784">
      <w:pPr>
        <w:spacing w:after="0" w:line="240" w:lineRule="auto"/>
        <w:jc w:val="both"/>
        <w:rPr>
          <w:rFonts w:ascii="Arial Narrow" w:eastAsia="Arial Narrow" w:hAnsi="Arial Narrow" w:cs="Arial Narrow"/>
          <w:lang w:val="es-CO" w:eastAsia="en-US"/>
        </w:rPr>
      </w:pPr>
      <w:r w:rsidRPr="00646152">
        <w:rPr>
          <w:rFonts w:ascii="Arial Narrow" w:eastAsia="Arial Narrow" w:hAnsi="Arial Narrow" w:cs="Arial Narrow"/>
          <w:b/>
          <w:lang w:val="es-CO" w:eastAsia="en-US"/>
        </w:rPr>
        <w:t xml:space="preserve">Artículo 5°. </w:t>
      </w:r>
      <w:r w:rsidRPr="00646152">
        <w:rPr>
          <w:rFonts w:ascii="Arial Narrow" w:eastAsia="Arial Narrow" w:hAnsi="Arial Narrow" w:cs="Arial Narrow"/>
          <w:lang w:val="es-CO" w:eastAsia="en-US"/>
        </w:rPr>
        <w:t xml:space="preserve">Los titulares de la información que tengan obligaciones crediticias </w:t>
      </w:r>
      <w:r w:rsidR="000E5DC9">
        <w:rPr>
          <w:rFonts w:ascii="Arial Narrow" w:eastAsia="Arial Narrow" w:hAnsi="Arial Narrow" w:cs="Arial Narrow"/>
          <w:lang w:val="es-CO" w:eastAsia="en-US"/>
        </w:rPr>
        <w:t xml:space="preserve">destinadas para educación </w:t>
      </w:r>
      <w:r w:rsidRPr="00646152">
        <w:rPr>
          <w:rFonts w:ascii="Arial Narrow" w:eastAsia="Arial Narrow" w:hAnsi="Arial Narrow" w:cs="Arial Narrow"/>
          <w:lang w:val="es-CO" w:eastAsia="en-US"/>
        </w:rPr>
        <w:t>con el ICETEX</w:t>
      </w:r>
      <w:r w:rsidR="00CC6BEA">
        <w:rPr>
          <w:rFonts w:ascii="Arial Narrow" w:eastAsia="Arial Narrow" w:hAnsi="Arial Narrow" w:cs="Arial Narrow"/>
          <w:lang w:val="es-CO" w:eastAsia="en-US"/>
        </w:rPr>
        <w:t xml:space="preserve"> y/o cualquier otra</w:t>
      </w:r>
      <w:r w:rsidR="000E5DC9">
        <w:rPr>
          <w:rFonts w:ascii="Arial Narrow" w:eastAsia="Arial Narrow" w:hAnsi="Arial Narrow" w:cs="Arial Narrow"/>
          <w:lang w:val="es-CO" w:eastAsia="en-US"/>
        </w:rPr>
        <w:t xml:space="preserve"> entidad financiera</w:t>
      </w:r>
      <w:r w:rsidRPr="00646152">
        <w:rPr>
          <w:rFonts w:ascii="Arial Narrow" w:eastAsia="Arial Narrow" w:hAnsi="Arial Narrow" w:cs="Arial Narrow"/>
          <w:lang w:val="es-CO" w:eastAsia="en-US"/>
        </w:rPr>
        <w:t xml:space="preserve">, que paguen las cuotas vencidas, extingan su deuda o que realicen un acuerdo de pago y cumplan con las cuotas ininterrumpidamente durante los 6 meses siguientes a la entrada en vigencia de la presente ley, </w:t>
      </w:r>
      <w:r w:rsidR="001C7D3C">
        <w:rPr>
          <w:rFonts w:ascii="Arial Narrow" w:eastAsia="Arial Narrow" w:hAnsi="Arial Narrow" w:cs="Arial Narrow"/>
          <w:lang w:val="es-CO" w:eastAsia="en-US"/>
        </w:rPr>
        <w:t>se les deberá realizar</w:t>
      </w:r>
      <w:r w:rsidRPr="00646152">
        <w:rPr>
          <w:rFonts w:ascii="Arial Narrow" w:eastAsia="Arial Narrow" w:hAnsi="Arial Narrow" w:cs="Arial Narrow"/>
          <w:lang w:val="es-CO" w:eastAsia="en-US"/>
        </w:rPr>
        <w:t xml:space="preserve"> el retiro inmediato del dato negativo de los bancos de datos. </w:t>
      </w:r>
    </w:p>
    <w:p w14:paraId="4128AB5C" w14:textId="77777777" w:rsidR="00227784" w:rsidRDefault="00227784" w:rsidP="00227784">
      <w:pPr>
        <w:spacing w:after="0" w:line="240" w:lineRule="auto"/>
        <w:jc w:val="both"/>
        <w:rPr>
          <w:rFonts w:ascii="Arial Narrow" w:eastAsia="Arial Narrow" w:hAnsi="Arial Narrow" w:cs="Arial Narrow"/>
          <w:lang w:val="es-CO" w:eastAsia="en-US"/>
        </w:rPr>
      </w:pPr>
    </w:p>
    <w:p w14:paraId="62526EA0" w14:textId="348DDB73" w:rsidR="001C7D3C" w:rsidRPr="001C7D3C" w:rsidRDefault="001C7D3C" w:rsidP="00227784">
      <w:pPr>
        <w:spacing w:after="0" w:line="240" w:lineRule="auto"/>
        <w:jc w:val="both"/>
        <w:rPr>
          <w:rFonts w:ascii="Arial Narrow" w:eastAsia="Arial Narrow" w:hAnsi="Arial Narrow" w:cs="Arial Narrow"/>
          <w:lang w:val="es-CO" w:eastAsia="en-US"/>
        </w:rPr>
      </w:pPr>
      <w:r w:rsidRPr="001C7D3C">
        <w:rPr>
          <w:rFonts w:ascii="Arial Narrow" w:eastAsia="Arial Narrow" w:hAnsi="Arial Narrow" w:cs="Arial Narrow"/>
          <w:lang w:val="es-CO" w:eastAsia="en-US"/>
        </w:rPr>
        <w:t>Lo anterior, sin perjuicio de que se puedan generar nuevos reportes negativos por el incumplimiento de los acu</w:t>
      </w:r>
      <w:r>
        <w:rPr>
          <w:rFonts w:ascii="Arial Narrow" w:eastAsia="Arial Narrow" w:hAnsi="Arial Narrow" w:cs="Arial Narrow"/>
          <w:lang w:val="es-CO" w:eastAsia="en-US"/>
        </w:rPr>
        <w:t>e</w:t>
      </w:r>
      <w:r w:rsidRPr="001C7D3C">
        <w:rPr>
          <w:rFonts w:ascii="Arial Narrow" w:eastAsia="Arial Narrow" w:hAnsi="Arial Narrow" w:cs="Arial Narrow"/>
          <w:lang w:val="es-CO" w:eastAsia="en-US"/>
        </w:rPr>
        <w:t xml:space="preserve">rdos de pago. </w:t>
      </w:r>
    </w:p>
    <w:p w14:paraId="0A9BDFA0" w14:textId="603DAF89" w:rsidR="00C7390D" w:rsidRDefault="00C7390D" w:rsidP="00227784">
      <w:pPr>
        <w:spacing w:after="0" w:line="240" w:lineRule="auto"/>
        <w:jc w:val="both"/>
        <w:rPr>
          <w:rFonts w:ascii="Arial Narrow" w:eastAsia="Arial Narrow" w:hAnsi="Arial Narrow" w:cs="Arial Narrow"/>
          <w:b/>
          <w:lang w:val="es-CO" w:eastAsia="en-US"/>
        </w:rPr>
      </w:pPr>
    </w:p>
    <w:p w14:paraId="398411FB" w14:textId="77777777" w:rsidR="00C7390D" w:rsidRDefault="00C7390D" w:rsidP="00227784">
      <w:pPr>
        <w:spacing w:after="0" w:line="240" w:lineRule="auto"/>
        <w:jc w:val="both"/>
        <w:rPr>
          <w:rFonts w:ascii="Arial Narrow" w:eastAsia="Arial Narrow" w:hAnsi="Arial Narrow" w:cs="Arial Narrow"/>
          <w:b/>
          <w:lang w:val="es-CO" w:eastAsia="en-US"/>
        </w:rPr>
      </w:pPr>
    </w:p>
    <w:p w14:paraId="2880D793" w14:textId="5D1DD0B4" w:rsidR="00646152" w:rsidRPr="00646152" w:rsidRDefault="00646152" w:rsidP="00227784">
      <w:pPr>
        <w:spacing w:after="0" w:line="240" w:lineRule="auto"/>
        <w:jc w:val="both"/>
        <w:rPr>
          <w:rFonts w:ascii="Arial Narrow" w:eastAsia="Arial Narrow" w:hAnsi="Arial Narrow" w:cs="Arial Narrow"/>
          <w:lang w:val="es-CO" w:eastAsia="en-US"/>
        </w:rPr>
      </w:pPr>
      <w:r w:rsidRPr="00646152">
        <w:rPr>
          <w:rFonts w:ascii="Arial Narrow" w:eastAsia="Arial Narrow" w:hAnsi="Arial Narrow" w:cs="Arial Narrow"/>
          <w:b/>
          <w:lang w:val="es-CO" w:eastAsia="en-US"/>
        </w:rPr>
        <w:t xml:space="preserve">Parágrafo. </w:t>
      </w:r>
      <w:r w:rsidRPr="00646152">
        <w:rPr>
          <w:rFonts w:ascii="Arial Narrow" w:eastAsia="Arial Narrow" w:hAnsi="Arial Narrow" w:cs="Arial Narrow"/>
          <w:lang w:val="es-CO" w:eastAsia="en-US"/>
        </w:rPr>
        <w:t>Lo dispuesto en el presente artículo, aplica tanto para los deudores como para los codeudores de dichas obligaciones crediticias con el ICETEX.</w:t>
      </w:r>
    </w:p>
    <w:p w14:paraId="3FD19C30" w14:textId="77777777" w:rsidR="00904F8E" w:rsidRDefault="00904F8E" w:rsidP="00227784">
      <w:pPr>
        <w:spacing w:after="0" w:line="240" w:lineRule="auto"/>
        <w:jc w:val="both"/>
        <w:rPr>
          <w:rFonts w:ascii="Arial Narrow" w:eastAsia="Arial Narrow" w:hAnsi="Arial Narrow" w:cs="Arial Narrow"/>
          <w:b/>
          <w:lang w:val="es-CO" w:eastAsia="en-US"/>
        </w:rPr>
      </w:pPr>
    </w:p>
    <w:p w14:paraId="6F2296CD" w14:textId="77777777" w:rsidR="00227784" w:rsidRDefault="00227784" w:rsidP="00227784">
      <w:pPr>
        <w:spacing w:after="0" w:line="240" w:lineRule="auto"/>
        <w:jc w:val="both"/>
        <w:rPr>
          <w:rFonts w:ascii="Arial Narrow" w:eastAsia="Arial Narrow" w:hAnsi="Arial Narrow" w:cs="Arial Narrow"/>
          <w:b/>
          <w:lang w:val="es-CO" w:eastAsia="en-US"/>
        </w:rPr>
      </w:pPr>
    </w:p>
    <w:p w14:paraId="71DAD8A6" w14:textId="091B15DE" w:rsidR="00646152" w:rsidRPr="00646152" w:rsidRDefault="00646152" w:rsidP="00227784">
      <w:pPr>
        <w:spacing w:after="0" w:line="240" w:lineRule="auto"/>
        <w:jc w:val="both"/>
        <w:rPr>
          <w:rFonts w:ascii="Arial Narrow" w:eastAsia="Arial Narrow" w:hAnsi="Arial Narrow" w:cs="Arial Narrow"/>
          <w:lang w:val="es-CO" w:eastAsia="en-US"/>
        </w:rPr>
      </w:pPr>
      <w:r w:rsidRPr="00646152">
        <w:rPr>
          <w:rFonts w:ascii="Arial Narrow" w:eastAsia="Arial Narrow" w:hAnsi="Arial Narrow" w:cs="Arial Narrow"/>
          <w:b/>
          <w:lang w:val="es-CO" w:eastAsia="en-US"/>
        </w:rPr>
        <w:t xml:space="preserve">Artículo 6°. </w:t>
      </w:r>
      <w:r w:rsidRPr="00646152">
        <w:rPr>
          <w:rFonts w:ascii="Arial Narrow" w:eastAsia="Arial Narrow" w:hAnsi="Arial Narrow" w:cs="Arial Narrow"/>
          <w:lang w:val="es-CO" w:eastAsia="en-US"/>
        </w:rPr>
        <w:t>Los titulares de la información que tengan obligaciones crediticias con fines de adquirir vivienda, que paguen las cuotas vencidas o que realicen un acuerdo de pago y cumplan con las cuotas ininterrumpidamente por 6 meses consecutivos durante los doce (12) meses de vigencia del presente régimen transitorio,</w:t>
      </w:r>
      <w:r w:rsidR="00904F8E">
        <w:rPr>
          <w:rFonts w:ascii="Arial Narrow" w:eastAsia="Arial Narrow" w:hAnsi="Arial Narrow" w:cs="Arial Narrow"/>
          <w:lang w:val="es-CO" w:eastAsia="en-US"/>
        </w:rPr>
        <w:t xml:space="preserve"> se les deberá realizar</w:t>
      </w:r>
      <w:r w:rsidRPr="00646152">
        <w:rPr>
          <w:rFonts w:ascii="Arial Narrow" w:eastAsia="Arial Narrow" w:hAnsi="Arial Narrow" w:cs="Arial Narrow"/>
          <w:lang w:val="es-CO" w:eastAsia="en-US"/>
        </w:rPr>
        <w:t xml:space="preserve"> el retiro inmediato del dato negativo de los bancos de datos.</w:t>
      </w:r>
    </w:p>
    <w:p w14:paraId="06AA0AFB" w14:textId="77777777" w:rsidR="00CC6BEA" w:rsidRDefault="00CC6BEA" w:rsidP="00227784">
      <w:pPr>
        <w:spacing w:after="0" w:line="240" w:lineRule="auto"/>
        <w:jc w:val="both"/>
        <w:rPr>
          <w:rFonts w:ascii="Arial Narrow" w:eastAsia="Arial Narrow" w:hAnsi="Arial Narrow" w:cs="Arial Narrow"/>
          <w:lang w:val="es-CO" w:eastAsia="en-US"/>
        </w:rPr>
      </w:pPr>
    </w:p>
    <w:p w14:paraId="0ED6FF63" w14:textId="00097A6B" w:rsidR="00A00C5E" w:rsidRPr="001C7D3C" w:rsidRDefault="00A00C5E" w:rsidP="00227784">
      <w:pPr>
        <w:spacing w:after="0" w:line="240" w:lineRule="auto"/>
        <w:jc w:val="both"/>
        <w:rPr>
          <w:rFonts w:ascii="Arial Narrow" w:eastAsia="Arial Narrow" w:hAnsi="Arial Narrow" w:cs="Arial Narrow"/>
          <w:lang w:val="es-CO" w:eastAsia="en-US"/>
        </w:rPr>
      </w:pPr>
      <w:r w:rsidRPr="001C7D3C">
        <w:rPr>
          <w:rFonts w:ascii="Arial Narrow" w:eastAsia="Arial Narrow" w:hAnsi="Arial Narrow" w:cs="Arial Narrow"/>
          <w:lang w:val="es-CO" w:eastAsia="en-US"/>
        </w:rPr>
        <w:t>Lo anterior, sin perjuicio de que se puedan generar nuevos reportes negativos por el incumplimiento de los acu</w:t>
      </w:r>
      <w:r>
        <w:rPr>
          <w:rFonts w:ascii="Arial Narrow" w:eastAsia="Arial Narrow" w:hAnsi="Arial Narrow" w:cs="Arial Narrow"/>
          <w:lang w:val="es-CO" w:eastAsia="en-US"/>
        </w:rPr>
        <w:t>e</w:t>
      </w:r>
      <w:r w:rsidRPr="001C7D3C">
        <w:rPr>
          <w:rFonts w:ascii="Arial Narrow" w:eastAsia="Arial Narrow" w:hAnsi="Arial Narrow" w:cs="Arial Narrow"/>
          <w:lang w:val="es-CO" w:eastAsia="en-US"/>
        </w:rPr>
        <w:t xml:space="preserve">rdos de pago. </w:t>
      </w:r>
    </w:p>
    <w:p w14:paraId="491395AC" w14:textId="77777777" w:rsidR="002619F2" w:rsidRDefault="002619F2" w:rsidP="00227784">
      <w:pPr>
        <w:spacing w:after="0" w:line="240" w:lineRule="auto"/>
        <w:jc w:val="both"/>
        <w:textAlignment w:val="baseline"/>
        <w:rPr>
          <w:rFonts w:ascii="Arial Narrow" w:eastAsia="Times New Roman" w:hAnsi="Arial Narrow" w:cs="Segoe UI"/>
          <w:b/>
          <w:lang w:val="es-CO" w:eastAsia="es-CO"/>
        </w:rPr>
      </w:pPr>
    </w:p>
    <w:p w14:paraId="64160392" w14:textId="77777777" w:rsidR="00227784" w:rsidRDefault="00227784" w:rsidP="00227784">
      <w:pPr>
        <w:spacing w:after="0" w:line="240" w:lineRule="auto"/>
        <w:jc w:val="both"/>
        <w:textAlignment w:val="baseline"/>
        <w:rPr>
          <w:rFonts w:ascii="Arial Narrow" w:eastAsia="Times New Roman" w:hAnsi="Arial Narrow" w:cs="Segoe UI"/>
          <w:b/>
          <w:lang w:val="es-CO" w:eastAsia="es-CO"/>
        </w:rPr>
      </w:pPr>
    </w:p>
    <w:p w14:paraId="73B6459F" w14:textId="3FF2E3B2" w:rsidR="00646152" w:rsidRPr="00646152" w:rsidRDefault="00646152" w:rsidP="00227784">
      <w:pPr>
        <w:spacing w:after="0" w:line="240" w:lineRule="auto"/>
        <w:jc w:val="both"/>
        <w:textAlignment w:val="baseline"/>
        <w:rPr>
          <w:rFonts w:ascii="Arial Narrow" w:eastAsia="Times New Roman" w:hAnsi="Arial Narrow" w:cs="Segoe UI"/>
          <w:lang w:val="es-CO" w:eastAsia="es-CO"/>
        </w:rPr>
      </w:pPr>
      <w:r w:rsidRPr="00646152">
        <w:rPr>
          <w:rFonts w:ascii="Arial Narrow" w:eastAsia="Times New Roman" w:hAnsi="Arial Narrow" w:cs="Segoe UI"/>
          <w:b/>
          <w:lang w:val="es-CO" w:eastAsia="es-CO"/>
        </w:rPr>
        <w:t xml:space="preserve">Artículo 7°. </w:t>
      </w:r>
      <w:r w:rsidRPr="00646152">
        <w:rPr>
          <w:rFonts w:ascii="Arial Narrow" w:eastAsia="Times New Roman" w:hAnsi="Arial Narrow" w:cs="Segoe UI"/>
          <w:lang w:val="es-CO" w:eastAsia="es-CO"/>
        </w:rPr>
        <w:t>Las entidades financieras, crediticias, comerciales y de servicios dentro de los (2) meses siguientes a la expedición de la presente ley, deberán implementar un plan de comunicación y publicidad para informar, de forma cierta, suficiente, clara y oportuna, los beneficios de esta ley garantizando la atención ante las peticiones, quejas y/o reclamos de los consumidores financieros para que conozcan adecuadamente sus derechos y obligaciones derivados de lo dispuesto en la presente ley.</w:t>
      </w:r>
    </w:p>
    <w:p w14:paraId="5607CE53" w14:textId="6713DB65" w:rsidR="002619F2" w:rsidRDefault="002619F2" w:rsidP="00227784">
      <w:pPr>
        <w:spacing w:after="0" w:line="240" w:lineRule="auto"/>
        <w:jc w:val="both"/>
        <w:textAlignment w:val="baseline"/>
        <w:rPr>
          <w:rFonts w:ascii="Arial Narrow" w:eastAsia="Times New Roman" w:hAnsi="Arial Narrow" w:cs="Segoe UI"/>
          <w:b/>
          <w:bCs/>
          <w:lang w:val="es-CO" w:eastAsia="es-CO"/>
        </w:rPr>
      </w:pPr>
    </w:p>
    <w:p w14:paraId="7FD4AFB8" w14:textId="77777777" w:rsidR="00227784" w:rsidRDefault="00227784" w:rsidP="00227784">
      <w:pPr>
        <w:spacing w:after="0" w:line="240" w:lineRule="auto"/>
        <w:jc w:val="both"/>
        <w:textAlignment w:val="baseline"/>
        <w:rPr>
          <w:rFonts w:ascii="Arial Narrow" w:eastAsia="Times New Roman" w:hAnsi="Arial Narrow" w:cs="Segoe UI"/>
          <w:b/>
          <w:bCs/>
          <w:lang w:val="es-CO" w:eastAsia="es-CO"/>
        </w:rPr>
      </w:pPr>
    </w:p>
    <w:p w14:paraId="3299E591" w14:textId="4B2142AD" w:rsidR="00646152" w:rsidRDefault="00646152" w:rsidP="00227784">
      <w:pPr>
        <w:spacing w:after="0" w:line="240" w:lineRule="auto"/>
        <w:jc w:val="both"/>
        <w:textAlignment w:val="baseline"/>
        <w:rPr>
          <w:rFonts w:ascii="Arial Narrow" w:eastAsia="Times New Roman" w:hAnsi="Arial Narrow" w:cs="Segoe UI"/>
          <w:lang w:val="es-CO" w:eastAsia="es-CO"/>
        </w:rPr>
      </w:pPr>
      <w:r w:rsidRPr="00646152">
        <w:rPr>
          <w:rFonts w:ascii="Arial Narrow" w:eastAsia="Times New Roman" w:hAnsi="Arial Narrow" w:cs="Segoe UI"/>
          <w:b/>
          <w:bCs/>
          <w:lang w:val="es-CO" w:eastAsia="es-CO"/>
        </w:rPr>
        <w:t>Artículo 8°.</w:t>
      </w:r>
      <w:r w:rsidRPr="00646152">
        <w:rPr>
          <w:rFonts w:ascii="Arial Narrow" w:eastAsia="Times New Roman" w:hAnsi="Arial Narrow" w:cs="Segoe UI"/>
          <w:lang w:val="es-CO" w:eastAsia="es-CO"/>
        </w:rPr>
        <w:t xml:space="preserve"> Las personas que tengan clasificación </w:t>
      </w:r>
      <w:proofErr w:type="spellStart"/>
      <w:r w:rsidRPr="00646152">
        <w:rPr>
          <w:rFonts w:ascii="Arial Narrow" w:eastAsia="Times New Roman" w:hAnsi="Arial Narrow" w:cs="Segoe UI"/>
          <w:lang w:val="es-CO" w:eastAsia="es-CO"/>
        </w:rPr>
        <w:t>Mipyme</w:t>
      </w:r>
      <w:proofErr w:type="spellEnd"/>
      <w:r w:rsidRPr="00646152">
        <w:rPr>
          <w:rFonts w:ascii="Arial Narrow" w:eastAsia="Times New Roman" w:hAnsi="Arial Narrow" w:cs="Segoe UI"/>
          <w:lang w:val="es-CO" w:eastAsia="es-CO"/>
        </w:rPr>
        <w:t>, o del sector turismo, o pequeños productores del sector agropecuario, o personas naturales que ejerzan actividades comerciales o independientes, que</w:t>
      </w:r>
      <w:r w:rsidR="00A00C5E">
        <w:rPr>
          <w:rFonts w:ascii="Arial Narrow" w:eastAsia="Times New Roman" w:hAnsi="Arial Narrow" w:cs="Segoe UI"/>
          <w:lang w:val="es-CO" w:eastAsia="es-CO"/>
        </w:rPr>
        <w:t xml:space="preserve"> paguen las cuotas vencidas,</w:t>
      </w:r>
      <w:r w:rsidRPr="00646152">
        <w:rPr>
          <w:rFonts w:ascii="Arial Narrow" w:eastAsia="Times New Roman" w:hAnsi="Arial Narrow" w:cs="Segoe UI"/>
          <w:lang w:val="es-CO" w:eastAsia="es-CO"/>
        </w:rPr>
        <w:t xml:space="preserve"> extingan sus obligaciones objeto de reporte </w:t>
      </w:r>
      <w:r w:rsidR="00A00C5E">
        <w:rPr>
          <w:rFonts w:ascii="Arial Narrow" w:eastAsia="Times New Roman" w:hAnsi="Arial Narrow" w:cs="Segoe UI"/>
          <w:lang w:val="es-CO" w:eastAsia="es-CO"/>
        </w:rPr>
        <w:t xml:space="preserve">o que realicen un acuerdo de pago y cumplan con las cuotas ininterrumpidas por 6 meses consecutivos durante </w:t>
      </w:r>
      <w:r w:rsidRPr="00646152">
        <w:rPr>
          <w:rFonts w:ascii="Arial Narrow" w:eastAsia="Times New Roman" w:hAnsi="Arial Narrow" w:cs="Segoe UI"/>
          <w:lang w:val="es-CO" w:eastAsia="es-CO"/>
        </w:rPr>
        <w:t>los doce (12) meses siguientes a la entrada en vigencia de la presente ley, el dato negativo les deberá ser retirado inmediatamente de los bancos de datos.  </w:t>
      </w:r>
    </w:p>
    <w:p w14:paraId="4F1DD615" w14:textId="77777777" w:rsidR="00227784" w:rsidRDefault="00227784" w:rsidP="00227784">
      <w:pPr>
        <w:spacing w:after="0" w:line="240" w:lineRule="auto"/>
        <w:jc w:val="both"/>
        <w:textAlignment w:val="baseline"/>
        <w:rPr>
          <w:rFonts w:ascii="Arial Narrow" w:eastAsia="Times New Roman" w:hAnsi="Arial Narrow" w:cs="Segoe UI"/>
          <w:lang w:val="es-CO" w:eastAsia="es-CO"/>
        </w:rPr>
      </w:pPr>
    </w:p>
    <w:p w14:paraId="78A5F508" w14:textId="2728464E" w:rsidR="00982A54" w:rsidRDefault="00982A54" w:rsidP="00227784">
      <w:pPr>
        <w:spacing w:after="0" w:line="240" w:lineRule="auto"/>
        <w:jc w:val="both"/>
        <w:textAlignment w:val="baseline"/>
        <w:rPr>
          <w:rFonts w:ascii="Arial Narrow" w:eastAsia="Times New Roman" w:hAnsi="Arial Narrow" w:cs="Segoe UI"/>
          <w:lang w:val="es-CO" w:eastAsia="es-CO"/>
        </w:rPr>
      </w:pPr>
      <w:r>
        <w:rPr>
          <w:rFonts w:ascii="Arial Narrow" w:eastAsia="Times New Roman" w:hAnsi="Arial Narrow" w:cs="Segoe UI"/>
          <w:lang w:val="es-CO" w:eastAsia="es-CO"/>
        </w:rPr>
        <w:t>Lo anterior, sin perjuicio de que se puedan generar nuevos reportes negativos por el incumplimiento de los acuerdos de pago.</w:t>
      </w:r>
    </w:p>
    <w:p w14:paraId="06C641D6" w14:textId="77777777" w:rsidR="00227784" w:rsidRDefault="00227784" w:rsidP="00227784">
      <w:pPr>
        <w:spacing w:after="0" w:line="240" w:lineRule="auto"/>
        <w:jc w:val="both"/>
        <w:textAlignment w:val="baseline"/>
        <w:rPr>
          <w:rFonts w:ascii="Arial Narrow" w:eastAsia="Times New Roman" w:hAnsi="Arial Narrow" w:cs="Segoe UI"/>
          <w:b/>
          <w:lang w:val="es-CO" w:eastAsia="es-CO"/>
        </w:rPr>
      </w:pPr>
    </w:p>
    <w:p w14:paraId="000D0771" w14:textId="77777777" w:rsidR="00227784" w:rsidRDefault="00227784" w:rsidP="00227784">
      <w:pPr>
        <w:spacing w:after="0" w:line="240" w:lineRule="auto"/>
        <w:jc w:val="both"/>
        <w:textAlignment w:val="baseline"/>
        <w:rPr>
          <w:rFonts w:ascii="Arial Narrow" w:eastAsia="Times New Roman" w:hAnsi="Arial Narrow" w:cs="Segoe UI"/>
          <w:b/>
          <w:lang w:val="es-CO" w:eastAsia="es-CO"/>
        </w:rPr>
      </w:pPr>
    </w:p>
    <w:p w14:paraId="3DD6235F" w14:textId="77777777" w:rsidR="00CC6BEA" w:rsidRDefault="00CC6BEA" w:rsidP="00227784">
      <w:pPr>
        <w:spacing w:after="0" w:line="240" w:lineRule="auto"/>
        <w:jc w:val="both"/>
        <w:textAlignment w:val="baseline"/>
        <w:rPr>
          <w:rFonts w:ascii="Arial Narrow" w:eastAsia="Times New Roman" w:hAnsi="Arial Narrow" w:cs="Segoe UI"/>
          <w:b/>
          <w:lang w:val="es-CO" w:eastAsia="es-CO"/>
        </w:rPr>
      </w:pPr>
    </w:p>
    <w:p w14:paraId="712F91B7" w14:textId="59B98953" w:rsidR="007F28DA" w:rsidRDefault="007F28DA" w:rsidP="00227784">
      <w:pPr>
        <w:spacing w:after="0" w:line="240" w:lineRule="auto"/>
        <w:jc w:val="both"/>
        <w:textAlignment w:val="baseline"/>
        <w:rPr>
          <w:rFonts w:ascii="Arial Narrow" w:eastAsia="Times New Roman" w:hAnsi="Arial Narrow" w:cs="Segoe UI"/>
          <w:lang w:val="es-CO" w:eastAsia="es-CO"/>
        </w:rPr>
      </w:pPr>
      <w:r w:rsidRPr="00836CBD">
        <w:rPr>
          <w:rFonts w:ascii="Arial Narrow" w:eastAsia="Times New Roman" w:hAnsi="Arial Narrow" w:cs="Segoe UI"/>
          <w:b/>
          <w:lang w:val="es-CO" w:eastAsia="es-CO"/>
        </w:rPr>
        <w:lastRenderedPageBreak/>
        <w:t xml:space="preserve">Artículo </w:t>
      </w:r>
      <w:r>
        <w:rPr>
          <w:rFonts w:ascii="Arial Narrow" w:eastAsia="Times New Roman" w:hAnsi="Arial Narrow" w:cs="Segoe UI"/>
          <w:b/>
          <w:lang w:val="es-CO" w:eastAsia="es-CO"/>
        </w:rPr>
        <w:t>9</w:t>
      </w:r>
      <w:r w:rsidRPr="00836CBD">
        <w:rPr>
          <w:rFonts w:ascii="Arial Narrow" w:eastAsia="Times New Roman" w:hAnsi="Arial Narrow" w:cs="Segoe UI"/>
          <w:b/>
          <w:lang w:val="es-CO" w:eastAsia="es-CO"/>
        </w:rPr>
        <w:t xml:space="preserve">°. </w:t>
      </w:r>
      <w:r>
        <w:rPr>
          <w:rFonts w:ascii="Arial Narrow" w:eastAsia="Times New Roman" w:hAnsi="Arial Narrow" w:cs="Segoe UI"/>
          <w:lang w:val="es-CO" w:eastAsia="es-CO"/>
        </w:rPr>
        <w:t>Adiciónese el Numeral 2.4 al Artículo 6 de la Ley Estatutaria 1266 de 2008, el cual quedará así:</w:t>
      </w:r>
    </w:p>
    <w:p w14:paraId="2743BF52" w14:textId="77777777" w:rsidR="00CC6BEA" w:rsidRDefault="00CC6BEA" w:rsidP="00227784">
      <w:pPr>
        <w:spacing w:after="0" w:line="240" w:lineRule="auto"/>
        <w:jc w:val="both"/>
        <w:textAlignment w:val="baseline"/>
        <w:rPr>
          <w:rFonts w:ascii="Arial Narrow" w:eastAsia="Times New Roman" w:hAnsi="Arial Narrow" w:cs="Segoe UI"/>
          <w:b/>
          <w:lang w:val="es-CO" w:eastAsia="es-CO"/>
        </w:rPr>
      </w:pPr>
    </w:p>
    <w:p w14:paraId="0F531518" w14:textId="0BFDEB97" w:rsidR="00CC6BEA" w:rsidRDefault="004F6461" w:rsidP="00227784">
      <w:pPr>
        <w:spacing w:after="0" w:line="240" w:lineRule="auto"/>
        <w:jc w:val="both"/>
        <w:textAlignment w:val="baseline"/>
        <w:rPr>
          <w:rFonts w:ascii="Arial Narrow" w:eastAsia="Times New Roman" w:hAnsi="Arial Narrow" w:cs="Segoe UI"/>
          <w:lang w:val="es-CO" w:eastAsia="es-CO"/>
        </w:rPr>
      </w:pPr>
      <w:r w:rsidRPr="004D2B0A">
        <w:rPr>
          <w:rFonts w:ascii="Arial Narrow" w:eastAsia="Times New Roman" w:hAnsi="Arial Narrow" w:cs="Segoe UI"/>
          <w:b/>
          <w:lang w:val="es-CO" w:eastAsia="es-CO"/>
        </w:rPr>
        <w:t>ART</w:t>
      </w:r>
      <w:r>
        <w:rPr>
          <w:rFonts w:ascii="Arial Narrow" w:eastAsia="Times New Roman" w:hAnsi="Arial Narrow" w:cs="Segoe UI"/>
          <w:b/>
          <w:lang w:val="es-CO" w:eastAsia="es-CO"/>
        </w:rPr>
        <w:t>ÍCULO 6</w:t>
      </w:r>
      <w:r w:rsidRPr="004D2B0A">
        <w:rPr>
          <w:rFonts w:ascii="Arial Narrow" w:eastAsia="Times New Roman" w:hAnsi="Arial Narrow" w:cs="Segoe UI"/>
          <w:b/>
          <w:lang w:val="es-CO" w:eastAsia="es-CO"/>
        </w:rPr>
        <w:t xml:space="preserve">. </w:t>
      </w:r>
      <w:r>
        <w:rPr>
          <w:rFonts w:ascii="Arial Narrow" w:eastAsia="Times New Roman" w:hAnsi="Arial Narrow" w:cs="Segoe UI"/>
          <w:b/>
          <w:lang w:val="es-CO" w:eastAsia="es-CO"/>
        </w:rPr>
        <w:t>DERECHOS DE LOS TITULARES DE LA INFORMACIÓN.</w:t>
      </w:r>
      <w:r>
        <w:rPr>
          <w:rFonts w:ascii="Arial Narrow" w:eastAsia="Times New Roman" w:hAnsi="Arial Narrow" w:cs="Segoe UI"/>
          <w:lang w:val="es-CO" w:eastAsia="es-CO"/>
        </w:rPr>
        <w:t xml:space="preserve"> Los titulares tendrán los siguientes derechos: </w:t>
      </w:r>
    </w:p>
    <w:p w14:paraId="34A5D60C" w14:textId="77777777" w:rsidR="00CC6BEA" w:rsidRDefault="00CC6BEA" w:rsidP="00227784">
      <w:pPr>
        <w:spacing w:after="0" w:line="240" w:lineRule="auto"/>
        <w:jc w:val="both"/>
        <w:textAlignment w:val="baseline"/>
        <w:rPr>
          <w:rFonts w:ascii="Arial Narrow" w:eastAsia="Times New Roman" w:hAnsi="Arial Narrow" w:cs="Segoe UI"/>
          <w:lang w:val="es-CO" w:eastAsia="es-CO"/>
        </w:rPr>
      </w:pPr>
    </w:p>
    <w:p w14:paraId="598B35FF" w14:textId="3EF769E2" w:rsidR="007F28DA" w:rsidRDefault="004F6461" w:rsidP="00227784">
      <w:pPr>
        <w:spacing w:after="0" w:line="240" w:lineRule="auto"/>
        <w:jc w:val="both"/>
        <w:textAlignment w:val="baseline"/>
        <w:rPr>
          <w:rFonts w:ascii="Arial Narrow" w:eastAsia="Times New Roman" w:hAnsi="Arial Narrow" w:cs="Segoe UI"/>
          <w:lang w:val="es-CO" w:eastAsia="es-CO"/>
        </w:rPr>
      </w:pPr>
      <w:r>
        <w:rPr>
          <w:rFonts w:ascii="Arial Narrow" w:eastAsia="Times New Roman" w:hAnsi="Arial Narrow" w:cs="Segoe UI"/>
          <w:lang w:val="es-CO" w:eastAsia="es-CO"/>
        </w:rPr>
        <w:t xml:space="preserve">(…) </w:t>
      </w:r>
    </w:p>
    <w:p w14:paraId="25BAD2D5" w14:textId="77777777" w:rsidR="00227784" w:rsidRDefault="00227784" w:rsidP="00227784">
      <w:pPr>
        <w:spacing w:after="0" w:line="240" w:lineRule="auto"/>
        <w:jc w:val="both"/>
        <w:textAlignment w:val="baseline"/>
        <w:rPr>
          <w:rFonts w:ascii="Arial Narrow" w:eastAsia="Times New Roman" w:hAnsi="Arial Narrow" w:cs="Segoe UI"/>
          <w:b/>
          <w:lang w:val="es-CO" w:eastAsia="es-CO"/>
        </w:rPr>
      </w:pPr>
    </w:p>
    <w:p w14:paraId="01FF10F5" w14:textId="7DC26572" w:rsidR="004F6461" w:rsidRDefault="004F6461" w:rsidP="00227784">
      <w:pPr>
        <w:spacing w:after="0" w:line="240" w:lineRule="auto"/>
        <w:jc w:val="both"/>
        <w:textAlignment w:val="baseline"/>
        <w:rPr>
          <w:rFonts w:ascii="Arial Narrow" w:eastAsia="Times New Roman" w:hAnsi="Arial Narrow" w:cs="Segoe UI"/>
          <w:b/>
          <w:lang w:val="es-CO" w:eastAsia="es-CO"/>
        </w:rPr>
      </w:pPr>
      <w:r w:rsidRPr="004F6461">
        <w:rPr>
          <w:rFonts w:ascii="Arial Narrow" w:eastAsia="Times New Roman" w:hAnsi="Arial Narrow" w:cs="Segoe UI"/>
          <w:b/>
          <w:lang w:val="es-CO" w:eastAsia="es-CO"/>
        </w:rPr>
        <w:t>2. Frente a las Fuentes de la información</w:t>
      </w:r>
      <w:r w:rsidR="00495D1E">
        <w:rPr>
          <w:rFonts w:ascii="Arial Narrow" w:eastAsia="Times New Roman" w:hAnsi="Arial Narrow" w:cs="Segoe UI"/>
          <w:b/>
          <w:lang w:val="es-CO" w:eastAsia="es-CO"/>
        </w:rPr>
        <w:t>:</w:t>
      </w:r>
    </w:p>
    <w:p w14:paraId="009C8F9F" w14:textId="77777777" w:rsidR="00227784" w:rsidRDefault="00227784" w:rsidP="00227784">
      <w:pPr>
        <w:spacing w:after="0" w:line="240" w:lineRule="auto"/>
        <w:jc w:val="both"/>
        <w:textAlignment w:val="baseline"/>
        <w:rPr>
          <w:rFonts w:ascii="Arial Narrow" w:eastAsia="Times New Roman" w:hAnsi="Arial Narrow" w:cs="Segoe UI"/>
          <w:b/>
          <w:lang w:val="es-CO" w:eastAsia="es-CO"/>
        </w:rPr>
      </w:pPr>
    </w:p>
    <w:p w14:paraId="36BC5B81" w14:textId="074BC3A0" w:rsidR="004F6461" w:rsidRDefault="004F6461" w:rsidP="00227784">
      <w:pPr>
        <w:spacing w:after="0" w:line="240" w:lineRule="auto"/>
        <w:jc w:val="both"/>
        <w:textAlignment w:val="baseline"/>
        <w:rPr>
          <w:rFonts w:ascii="Arial Narrow" w:eastAsia="Times New Roman" w:hAnsi="Arial Narrow" w:cs="Segoe UI"/>
          <w:b/>
          <w:lang w:val="es-CO" w:eastAsia="es-CO"/>
        </w:rPr>
      </w:pPr>
      <w:r>
        <w:rPr>
          <w:rFonts w:ascii="Arial Narrow" w:eastAsia="Times New Roman" w:hAnsi="Arial Narrow" w:cs="Segoe UI"/>
          <w:b/>
          <w:lang w:val="es-CO" w:eastAsia="es-CO"/>
        </w:rPr>
        <w:t>(…)</w:t>
      </w:r>
    </w:p>
    <w:p w14:paraId="75AA54DC" w14:textId="77777777" w:rsidR="00227784" w:rsidRDefault="00227784" w:rsidP="00227784">
      <w:pPr>
        <w:spacing w:after="0" w:line="240" w:lineRule="auto"/>
        <w:jc w:val="both"/>
        <w:textAlignment w:val="baseline"/>
        <w:rPr>
          <w:rFonts w:ascii="Arial Narrow" w:eastAsia="Times New Roman" w:hAnsi="Arial Narrow" w:cs="Segoe UI"/>
          <w:b/>
          <w:lang w:val="es-CO" w:eastAsia="es-CO"/>
        </w:rPr>
      </w:pPr>
    </w:p>
    <w:p w14:paraId="46660C68" w14:textId="536F7362" w:rsidR="004F6461" w:rsidRDefault="004F6461" w:rsidP="00227784">
      <w:pPr>
        <w:spacing w:after="0" w:line="240" w:lineRule="auto"/>
        <w:jc w:val="both"/>
        <w:textAlignment w:val="baseline"/>
        <w:rPr>
          <w:rFonts w:ascii="Arial Narrow" w:eastAsia="Times New Roman" w:hAnsi="Arial Narrow" w:cs="Segoe UI"/>
          <w:lang w:val="es-CO" w:eastAsia="es-CO"/>
        </w:rPr>
      </w:pPr>
      <w:r w:rsidRPr="002619F2">
        <w:rPr>
          <w:rFonts w:ascii="Arial Narrow" w:eastAsia="Times New Roman" w:hAnsi="Arial Narrow" w:cs="Segoe UI"/>
          <w:b/>
          <w:lang w:val="es-CO" w:eastAsia="es-CO"/>
        </w:rPr>
        <w:t xml:space="preserve">2.4 </w:t>
      </w:r>
      <w:r w:rsidRPr="004F6461">
        <w:rPr>
          <w:rFonts w:ascii="Arial Narrow" w:eastAsia="Times New Roman" w:hAnsi="Arial Narrow" w:cs="Segoe UI"/>
          <w:lang w:val="es-CO" w:eastAsia="es-CO"/>
        </w:rPr>
        <w:t>Cuando la fuente de información</w:t>
      </w:r>
      <w:r>
        <w:rPr>
          <w:rFonts w:ascii="Arial Narrow" w:eastAsia="Times New Roman" w:hAnsi="Arial Narrow" w:cs="Segoe UI"/>
          <w:lang w:val="es-CO" w:eastAsia="es-CO"/>
        </w:rPr>
        <w:t xml:space="preserve"> sea una entidad financiera o crediticia y realice venta de cartera o cesión de títulos valores a terceros, deberá reportar de manera inmediata dicho hecho a los operadores de información respectivos, quienes procederán a la actualización de la información respecto al nuevo acreedor en sus bases de datos.</w:t>
      </w:r>
    </w:p>
    <w:p w14:paraId="64BFDF1A" w14:textId="77777777" w:rsidR="002619F2" w:rsidRDefault="002619F2" w:rsidP="00227784">
      <w:pPr>
        <w:spacing w:after="0" w:line="240" w:lineRule="auto"/>
        <w:jc w:val="both"/>
        <w:textAlignment w:val="baseline"/>
        <w:rPr>
          <w:rFonts w:ascii="Arial Narrow" w:eastAsia="Times New Roman" w:hAnsi="Arial Narrow" w:cs="Segoe UI"/>
          <w:b/>
          <w:lang w:val="es-CO" w:eastAsia="es-CO"/>
        </w:rPr>
      </w:pPr>
    </w:p>
    <w:p w14:paraId="32F969B4" w14:textId="77777777" w:rsidR="00227784" w:rsidRDefault="00227784" w:rsidP="00227784">
      <w:pPr>
        <w:spacing w:after="0" w:line="240" w:lineRule="auto"/>
        <w:jc w:val="both"/>
        <w:textAlignment w:val="baseline"/>
        <w:rPr>
          <w:rFonts w:ascii="Arial Narrow" w:eastAsia="Times New Roman" w:hAnsi="Arial Narrow" w:cs="Segoe UI"/>
          <w:b/>
          <w:lang w:val="es-CO" w:eastAsia="es-CO"/>
        </w:rPr>
      </w:pPr>
    </w:p>
    <w:p w14:paraId="7D9DFBE6" w14:textId="25494CB9" w:rsidR="00836CBD" w:rsidRDefault="00836CBD" w:rsidP="00227784">
      <w:pPr>
        <w:spacing w:after="0" w:line="240" w:lineRule="auto"/>
        <w:jc w:val="both"/>
        <w:textAlignment w:val="baseline"/>
        <w:rPr>
          <w:rFonts w:ascii="Arial Narrow" w:eastAsia="Times New Roman" w:hAnsi="Arial Narrow" w:cs="Segoe UI"/>
          <w:lang w:val="es-CO" w:eastAsia="es-CO"/>
        </w:rPr>
      </w:pPr>
      <w:r w:rsidRPr="00836CBD">
        <w:rPr>
          <w:rFonts w:ascii="Arial Narrow" w:eastAsia="Times New Roman" w:hAnsi="Arial Narrow" w:cs="Segoe UI"/>
          <w:b/>
          <w:lang w:val="es-CO" w:eastAsia="es-CO"/>
        </w:rPr>
        <w:t xml:space="preserve">Artículo </w:t>
      </w:r>
      <w:r w:rsidR="007F28DA">
        <w:rPr>
          <w:rFonts w:ascii="Arial Narrow" w:eastAsia="Times New Roman" w:hAnsi="Arial Narrow" w:cs="Segoe UI"/>
          <w:b/>
          <w:lang w:val="es-CO" w:eastAsia="es-CO"/>
        </w:rPr>
        <w:t>10</w:t>
      </w:r>
      <w:r w:rsidRPr="00836CBD">
        <w:rPr>
          <w:rFonts w:ascii="Arial Narrow" w:eastAsia="Times New Roman" w:hAnsi="Arial Narrow" w:cs="Segoe UI"/>
          <w:b/>
          <w:lang w:val="es-CO" w:eastAsia="es-CO"/>
        </w:rPr>
        <w:t xml:space="preserve">°. </w:t>
      </w:r>
      <w:r>
        <w:rPr>
          <w:rFonts w:ascii="Arial Narrow" w:eastAsia="Times New Roman" w:hAnsi="Arial Narrow" w:cs="Segoe UI"/>
          <w:lang w:val="es-CO" w:eastAsia="es-CO"/>
        </w:rPr>
        <w:t>Adiciónese el Numeral 7 al Artículo 17 de la Ley Estatutar</w:t>
      </w:r>
      <w:r w:rsidR="00CC6BEA">
        <w:rPr>
          <w:rFonts w:ascii="Arial Narrow" w:eastAsia="Times New Roman" w:hAnsi="Arial Narrow" w:cs="Segoe UI"/>
          <w:lang w:val="es-CO" w:eastAsia="es-CO"/>
        </w:rPr>
        <w:t>ia 1266 de 2008</w:t>
      </w:r>
      <w:r>
        <w:rPr>
          <w:rFonts w:ascii="Arial Narrow" w:eastAsia="Times New Roman" w:hAnsi="Arial Narrow" w:cs="Segoe UI"/>
          <w:lang w:val="es-CO" w:eastAsia="es-CO"/>
        </w:rPr>
        <w:t>, el cual quedará así:</w:t>
      </w:r>
    </w:p>
    <w:p w14:paraId="2E5DB6A0" w14:textId="77777777" w:rsidR="00227784" w:rsidRDefault="00227784" w:rsidP="00227784">
      <w:pPr>
        <w:spacing w:after="0" w:line="240" w:lineRule="auto"/>
        <w:jc w:val="both"/>
        <w:textAlignment w:val="baseline"/>
        <w:rPr>
          <w:rFonts w:ascii="Arial Narrow" w:eastAsia="Times New Roman" w:hAnsi="Arial Narrow" w:cs="Segoe UI"/>
          <w:b/>
          <w:lang w:val="es-CO" w:eastAsia="es-CO"/>
        </w:rPr>
      </w:pPr>
    </w:p>
    <w:p w14:paraId="45467F96" w14:textId="77777777" w:rsidR="00CC6BEA" w:rsidRDefault="00836CBD" w:rsidP="00227784">
      <w:pPr>
        <w:spacing w:after="0" w:line="240" w:lineRule="auto"/>
        <w:jc w:val="both"/>
        <w:textAlignment w:val="baseline"/>
        <w:rPr>
          <w:rFonts w:ascii="Arial Narrow" w:eastAsia="Times New Roman" w:hAnsi="Arial Narrow" w:cs="Segoe UI"/>
          <w:lang w:val="es-CO" w:eastAsia="es-CO"/>
        </w:rPr>
      </w:pPr>
      <w:r w:rsidRPr="004D2B0A">
        <w:rPr>
          <w:rFonts w:ascii="Arial Narrow" w:eastAsia="Times New Roman" w:hAnsi="Arial Narrow" w:cs="Segoe UI"/>
          <w:b/>
          <w:lang w:val="es-CO" w:eastAsia="es-CO"/>
        </w:rPr>
        <w:t>ARTÍCULO 17. FUNCIÓN DE VIGILANCIA,</w:t>
      </w:r>
      <w:r>
        <w:rPr>
          <w:rFonts w:ascii="Arial Narrow" w:eastAsia="Times New Roman" w:hAnsi="Arial Narrow" w:cs="Segoe UI"/>
          <w:lang w:val="es-CO" w:eastAsia="es-CO"/>
        </w:rPr>
        <w:t xml:space="preserve"> La Superintendencia de Industria y Comercio ejercerá la función de vigilancia de los operadores, las fuentes y los usuarios</w:t>
      </w:r>
      <w:r w:rsidR="004D2B0A">
        <w:rPr>
          <w:rFonts w:ascii="Arial Narrow" w:eastAsia="Times New Roman" w:hAnsi="Arial Narrow" w:cs="Segoe UI"/>
          <w:lang w:val="es-CO" w:eastAsia="es-CO"/>
        </w:rPr>
        <w:t xml:space="preserve"> </w:t>
      </w:r>
      <w:r>
        <w:rPr>
          <w:rFonts w:ascii="Arial Narrow" w:eastAsia="Times New Roman" w:hAnsi="Arial Narrow" w:cs="Segoe UI"/>
          <w:lang w:val="es-CO" w:eastAsia="es-CO"/>
        </w:rPr>
        <w:t xml:space="preserve">de información financiera, crediticia, comercial, de servicios y la proveniente de terceros países, en cuanto se refiere a la actividad de administración de datos personales que se regula en la presente ley. </w:t>
      </w:r>
    </w:p>
    <w:p w14:paraId="6DDC19A2" w14:textId="77777777" w:rsidR="00CC6BEA" w:rsidRDefault="00CC6BEA" w:rsidP="00227784">
      <w:pPr>
        <w:spacing w:after="0" w:line="240" w:lineRule="auto"/>
        <w:jc w:val="both"/>
        <w:textAlignment w:val="baseline"/>
        <w:rPr>
          <w:rFonts w:ascii="Arial Narrow" w:eastAsia="Times New Roman" w:hAnsi="Arial Narrow" w:cs="Segoe UI"/>
          <w:lang w:val="es-CO" w:eastAsia="es-CO"/>
        </w:rPr>
      </w:pPr>
    </w:p>
    <w:p w14:paraId="5EC9BBD4" w14:textId="2B90D22F" w:rsidR="00836CBD" w:rsidRDefault="00836CBD" w:rsidP="00227784">
      <w:pPr>
        <w:spacing w:after="0" w:line="240" w:lineRule="auto"/>
        <w:jc w:val="both"/>
        <w:textAlignment w:val="baseline"/>
        <w:rPr>
          <w:rFonts w:ascii="Arial Narrow" w:eastAsia="Times New Roman" w:hAnsi="Arial Narrow" w:cs="Segoe UI"/>
          <w:lang w:val="es-CO" w:eastAsia="es-CO"/>
        </w:rPr>
      </w:pPr>
      <w:r>
        <w:rPr>
          <w:rFonts w:ascii="Arial Narrow" w:eastAsia="Times New Roman" w:hAnsi="Arial Narrow" w:cs="Segoe UI"/>
          <w:lang w:val="es-CO" w:eastAsia="es-CO"/>
        </w:rPr>
        <w:t>(…).</w:t>
      </w:r>
    </w:p>
    <w:p w14:paraId="2D105AE5" w14:textId="77777777" w:rsidR="00227784" w:rsidRDefault="00227784" w:rsidP="00227784">
      <w:pPr>
        <w:spacing w:after="0" w:line="240" w:lineRule="auto"/>
        <w:jc w:val="both"/>
        <w:textAlignment w:val="baseline"/>
        <w:rPr>
          <w:rFonts w:ascii="Arial Narrow" w:eastAsia="Times New Roman" w:hAnsi="Arial Narrow" w:cs="Segoe UI"/>
          <w:b/>
          <w:lang w:val="es-CO" w:eastAsia="es-CO"/>
        </w:rPr>
      </w:pPr>
    </w:p>
    <w:p w14:paraId="3B466788" w14:textId="63ED98EB" w:rsidR="00836CBD" w:rsidRDefault="00836CBD" w:rsidP="00227784">
      <w:pPr>
        <w:spacing w:after="0" w:line="240" w:lineRule="auto"/>
        <w:jc w:val="both"/>
        <w:textAlignment w:val="baseline"/>
        <w:rPr>
          <w:rFonts w:ascii="Arial Narrow" w:eastAsia="Times New Roman" w:hAnsi="Arial Narrow" w:cs="Segoe UI"/>
          <w:lang w:val="es-CO" w:eastAsia="es-CO"/>
        </w:rPr>
      </w:pPr>
      <w:r w:rsidRPr="002619F2">
        <w:rPr>
          <w:rFonts w:ascii="Arial Narrow" w:eastAsia="Times New Roman" w:hAnsi="Arial Narrow" w:cs="Segoe UI"/>
          <w:b/>
          <w:lang w:val="es-CO" w:eastAsia="es-CO"/>
        </w:rPr>
        <w:t>7.</w:t>
      </w:r>
      <w:r>
        <w:rPr>
          <w:rFonts w:ascii="Arial Narrow" w:eastAsia="Times New Roman" w:hAnsi="Arial Narrow" w:cs="Segoe UI"/>
          <w:lang w:val="es-CO" w:eastAsia="es-CO"/>
        </w:rPr>
        <w:t xml:space="preserve"> Auditar en forma periódica, y exigir informes anuales, a las fuentes y operadores de información fina</w:t>
      </w:r>
      <w:r w:rsidR="005754BA">
        <w:rPr>
          <w:rFonts w:ascii="Arial Narrow" w:eastAsia="Times New Roman" w:hAnsi="Arial Narrow" w:cs="Segoe UI"/>
          <w:lang w:val="es-CO" w:eastAsia="es-CO"/>
        </w:rPr>
        <w:t>nciera y crediticia para valida</w:t>
      </w:r>
      <w:r>
        <w:rPr>
          <w:rFonts w:ascii="Arial Narrow" w:eastAsia="Times New Roman" w:hAnsi="Arial Narrow" w:cs="Segoe UI"/>
          <w:lang w:val="es-CO" w:eastAsia="es-CO"/>
        </w:rPr>
        <w:t>r el cumplimiento respecto a su obligación legal de actualizar, corregir o retirar los reportes negativos de los bancos de datos de historiales crediticios, con el fin de mantener, en todo momento, la información de los titulares actualizada acorde a los términos establecidos en la ley.</w:t>
      </w:r>
    </w:p>
    <w:p w14:paraId="48040E4C" w14:textId="77777777" w:rsidR="002619F2" w:rsidRDefault="002619F2" w:rsidP="00227784">
      <w:pPr>
        <w:spacing w:after="0" w:line="240" w:lineRule="auto"/>
        <w:jc w:val="both"/>
        <w:textAlignment w:val="baseline"/>
        <w:rPr>
          <w:rFonts w:ascii="Arial Narrow" w:eastAsia="Times New Roman" w:hAnsi="Arial Narrow" w:cs="Segoe UI"/>
          <w:b/>
          <w:bCs/>
          <w:lang w:val="es-CO" w:eastAsia="es-CO"/>
        </w:rPr>
      </w:pPr>
    </w:p>
    <w:p w14:paraId="1568BD84" w14:textId="77777777" w:rsidR="00227784" w:rsidRDefault="00227784" w:rsidP="00227784">
      <w:pPr>
        <w:spacing w:after="0" w:line="240" w:lineRule="auto"/>
        <w:jc w:val="both"/>
        <w:textAlignment w:val="baseline"/>
        <w:rPr>
          <w:rFonts w:ascii="Arial Narrow" w:eastAsia="Times New Roman" w:hAnsi="Arial Narrow" w:cs="Segoe UI"/>
          <w:b/>
          <w:bCs/>
          <w:lang w:val="es-CO" w:eastAsia="es-CO"/>
        </w:rPr>
      </w:pPr>
    </w:p>
    <w:p w14:paraId="38560179" w14:textId="743E4EFA" w:rsidR="00836CBD" w:rsidRPr="003A49A1" w:rsidRDefault="003A49A1" w:rsidP="00227784">
      <w:pPr>
        <w:spacing w:after="0" w:line="240" w:lineRule="auto"/>
        <w:jc w:val="both"/>
        <w:textAlignment w:val="baseline"/>
        <w:rPr>
          <w:rFonts w:ascii="Arial Narrow" w:eastAsia="Times New Roman" w:hAnsi="Arial Narrow" w:cs="Segoe UI"/>
          <w:lang w:val="es-CO" w:eastAsia="es-CO"/>
        </w:rPr>
      </w:pPr>
      <w:r w:rsidRPr="00646152">
        <w:rPr>
          <w:rFonts w:ascii="Arial Narrow" w:eastAsia="Times New Roman" w:hAnsi="Arial Narrow" w:cs="Segoe UI"/>
          <w:b/>
          <w:bCs/>
          <w:lang w:val="es-CO" w:eastAsia="es-CO"/>
        </w:rPr>
        <w:t xml:space="preserve">Artículo </w:t>
      </w:r>
      <w:r>
        <w:rPr>
          <w:rFonts w:ascii="Arial Narrow" w:eastAsia="Times New Roman" w:hAnsi="Arial Narrow" w:cs="Segoe UI"/>
          <w:b/>
          <w:bCs/>
          <w:lang w:val="es-CO" w:eastAsia="es-CO"/>
        </w:rPr>
        <w:t>11</w:t>
      </w:r>
      <w:r w:rsidRPr="00646152">
        <w:rPr>
          <w:rFonts w:ascii="Arial Narrow" w:eastAsia="Times New Roman" w:hAnsi="Arial Narrow" w:cs="Segoe UI"/>
          <w:b/>
          <w:bCs/>
          <w:lang w:val="es-CO" w:eastAsia="es-CO"/>
        </w:rPr>
        <w:t>º</w:t>
      </w:r>
      <w:r w:rsidRPr="00646152">
        <w:rPr>
          <w:rFonts w:ascii="Arial Narrow" w:eastAsia="Times New Roman" w:hAnsi="Arial Narrow" w:cs="Segoe UI"/>
          <w:lang w:val="es-CO" w:eastAsia="es-CO"/>
        </w:rPr>
        <w:t>.</w:t>
      </w:r>
      <w:r>
        <w:rPr>
          <w:rFonts w:ascii="Arial Narrow" w:eastAsia="Times New Roman" w:hAnsi="Arial Narrow" w:cs="Segoe UI"/>
          <w:lang w:val="es-CO" w:eastAsia="es-CO"/>
        </w:rPr>
        <w:t xml:space="preserve"> Los titulares de información con obligaciones crediticias destinadas a fines de agricultura, que paguen las cuotas vencidas o celebren un acuerdo de pago y cumplan de manera ininterrumpida con sus obligaciones durante seis (6) meses consecutivos, dentro de los doce (12) meses de vigencia del presente régimen transitorio, podrán solicitar el retiro inmediato de su reporte negativo en las centrales de riesgo.</w:t>
      </w:r>
    </w:p>
    <w:p w14:paraId="12754303" w14:textId="77777777" w:rsidR="002619F2" w:rsidRDefault="002619F2" w:rsidP="00227784">
      <w:pPr>
        <w:spacing w:after="0" w:line="240" w:lineRule="auto"/>
        <w:jc w:val="both"/>
        <w:textAlignment w:val="baseline"/>
        <w:rPr>
          <w:rFonts w:ascii="Arial Narrow" w:eastAsia="Times New Roman" w:hAnsi="Arial Narrow" w:cs="Segoe UI"/>
          <w:b/>
          <w:bCs/>
          <w:lang w:val="es-CO" w:eastAsia="es-CO"/>
        </w:rPr>
      </w:pPr>
    </w:p>
    <w:p w14:paraId="515F9528" w14:textId="77777777" w:rsidR="00227784" w:rsidRDefault="00227784" w:rsidP="00227784">
      <w:pPr>
        <w:spacing w:after="0" w:line="240" w:lineRule="auto"/>
        <w:jc w:val="both"/>
        <w:textAlignment w:val="baseline"/>
        <w:rPr>
          <w:rFonts w:ascii="Arial Narrow" w:eastAsia="Times New Roman" w:hAnsi="Arial Narrow" w:cs="Segoe UI"/>
          <w:b/>
          <w:bCs/>
          <w:lang w:val="es-CO" w:eastAsia="es-CO"/>
        </w:rPr>
      </w:pPr>
    </w:p>
    <w:p w14:paraId="5508A871" w14:textId="2EFA3F6A" w:rsidR="00646152" w:rsidRPr="00646152" w:rsidRDefault="00646152" w:rsidP="00227784">
      <w:pPr>
        <w:spacing w:after="0" w:line="240" w:lineRule="auto"/>
        <w:jc w:val="both"/>
        <w:textAlignment w:val="baseline"/>
        <w:rPr>
          <w:rFonts w:ascii="Arial Narrow" w:eastAsia="Times New Roman" w:hAnsi="Arial Narrow" w:cs="Segoe UI"/>
          <w:lang w:val="es-CO" w:eastAsia="es-CO"/>
        </w:rPr>
      </w:pPr>
      <w:r w:rsidRPr="00646152">
        <w:rPr>
          <w:rFonts w:ascii="Arial Narrow" w:eastAsia="Times New Roman" w:hAnsi="Arial Narrow" w:cs="Segoe UI"/>
          <w:b/>
          <w:bCs/>
          <w:lang w:val="es-CO" w:eastAsia="es-CO"/>
        </w:rPr>
        <w:t xml:space="preserve">Artículo </w:t>
      </w:r>
      <w:r w:rsidR="004F6461">
        <w:rPr>
          <w:rFonts w:ascii="Arial Narrow" w:eastAsia="Times New Roman" w:hAnsi="Arial Narrow" w:cs="Segoe UI"/>
          <w:b/>
          <w:bCs/>
          <w:lang w:val="es-CO" w:eastAsia="es-CO"/>
        </w:rPr>
        <w:t>12</w:t>
      </w:r>
      <w:r w:rsidRPr="00646152">
        <w:rPr>
          <w:rFonts w:ascii="Arial Narrow" w:eastAsia="Times New Roman" w:hAnsi="Arial Narrow" w:cs="Segoe UI"/>
          <w:b/>
          <w:bCs/>
          <w:lang w:val="es-CO" w:eastAsia="es-CO"/>
        </w:rPr>
        <w:t>º</w:t>
      </w:r>
      <w:r w:rsidRPr="00646152">
        <w:rPr>
          <w:rFonts w:ascii="Arial Narrow" w:eastAsia="Times New Roman" w:hAnsi="Arial Narrow" w:cs="Segoe UI"/>
          <w:lang w:val="es-CO" w:eastAsia="es-CO"/>
        </w:rPr>
        <w:t xml:space="preserve">. </w:t>
      </w:r>
      <w:r w:rsidRPr="00646152">
        <w:rPr>
          <w:rFonts w:ascii="Arial Narrow" w:eastAsia="Times New Roman" w:hAnsi="Arial Narrow" w:cs="Segoe UI"/>
          <w:b/>
          <w:bCs/>
          <w:lang w:val="es-CO" w:eastAsia="es-CO"/>
        </w:rPr>
        <w:t>Vigencia</w:t>
      </w:r>
      <w:r w:rsidRPr="00646152">
        <w:rPr>
          <w:rFonts w:ascii="Arial Narrow" w:eastAsia="Times New Roman" w:hAnsi="Arial Narrow" w:cs="Segoe UI"/>
          <w:lang w:val="es-CO" w:eastAsia="es-CO"/>
        </w:rPr>
        <w:t>. La presente ley rige a partir de su promulgación y deroga todas las disposiciones que le sean contrarias. </w:t>
      </w:r>
    </w:p>
    <w:p w14:paraId="2E584E6D" w14:textId="5DA98167" w:rsidR="00676CCD" w:rsidRDefault="00676CCD" w:rsidP="00227784">
      <w:pPr>
        <w:spacing w:after="0" w:line="240" w:lineRule="auto"/>
        <w:jc w:val="center"/>
        <w:rPr>
          <w:rFonts w:ascii="Bookman Old Style" w:hAnsi="Bookman Old Style" w:cs="Times New Roman"/>
          <w:b/>
        </w:rPr>
      </w:pPr>
    </w:p>
    <w:p w14:paraId="4AD62283" w14:textId="779AC8F1" w:rsidR="00676CCD" w:rsidRDefault="00676CCD" w:rsidP="00227784">
      <w:pPr>
        <w:spacing w:after="0" w:line="240" w:lineRule="auto"/>
        <w:jc w:val="center"/>
        <w:rPr>
          <w:rFonts w:ascii="Bookman Old Style" w:hAnsi="Bookman Old Style" w:cs="Times New Roman"/>
          <w:b/>
        </w:rPr>
      </w:pPr>
    </w:p>
    <w:p w14:paraId="7F83D455" w14:textId="3B0C3B3B" w:rsidR="007E619D" w:rsidRPr="00646152" w:rsidRDefault="007E619D" w:rsidP="00227784">
      <w:pPr>
        <w:spacing w:after="0" w:line="240" w:lineRule="auto"/>
        <w:jc w:val="both"/>
        <w:rPr>
          <w:rFonts w:ascii="Arial Narrow" w:eastAsia="Century Gothic" w:hAnsi="Arial Narrow" w:cs="Arial"/>
          <w:sz w:val="24"/>
          <w:szCs w:val="24"/>
          <w:highlight w:val="white"/>
          <w:lang w:val="es-CO"/>
        </w:rPr>
      </w:pPr>
      <w:r w:rsidRPr="00646152">
        <w:rPr>
          <w:rFonts w:ascii="Arial Narrow" w:eastAsia="Century Gothic" w:hAnsi="Arial Narrow" w:cs="Arial"/>
          <w:sz w:val="24"/>
          <w:szCs w:val="24"/>
          <w:highlight w:val="white"/>
          <w:lang w:val="es-CO"/>
        </w:rPr>
        <w:t xml:space="preserve">En los anteriores términos fue aprobado con modificaciones el presente proyecto de Ley </w:t>
      </w:r>
      <w:r w:rsidR="008C0E9F" w:rsidRPr="00646152">
        <w:rPr>
          <w:rFonts w:ascii="Arial Narrow" w:eastAsia="Century Gothic" w:hAnsi="Arial Narrow" w:cs="Arial"/>
          <w:sz w:val="24"/>
          <w:szCs w:val="24"/>
          <w:highlight w:val="white"/>
          <w:lang w:val="es-CO"/>
        </w:rPr>
        <w:t>Estatutaria según consta en el A</w:t>
      </w:r>
      <w:r w:rsidRPr="00646152">
        <w:rPr>
          <w:rFonts w:ascii="Arial Narrow" w:eastAsia="Century Gothic" w:hAnsi="Arial Narrow" w:cs="Arial"/>
          <w:sz w:val="24"/>
          <w:szCs w:val="24"/>
          <w:highlight w:val="white"/>
          <w:lang w:val="es-CO"/>
        </w:rPr>
        <w:t xml:space="preserve">cta No. </w:t>
      </w:r>
      <w:r w:rsidR="00676CCD" w:rsidRPr="00646152">
        <w:rPr>
          <w:rFonts w:ascii="Arial Narrow" w:eastAsia="Century Gothic" w:hAnsi="Arial Narrow" w:cs="Arial"/>
          <w:sz w:val="24"/>
          <w:szCs w:val="24"/>
          <w:highlight w:val="white"/>
          <w:lang w:val="es-CO"/>
        </w:rPr>
        <w:t>38</w:t>
      </w:r>
      <w:r w:rsidR="0026293A" w:rsidRPr="00646152">
        <w:rPr>
          <w:rFonts w:ascii="Arial Narrow" w:eastAsia="Century Gothic" w:hAnsi="Arial Narrow" w:cs="Arial"/>
          <w:sz w:val="24"/>
          <w:szCs w:val="24"/>
          <w:highlight w:val="white"/>
          <w:lang w:val="es-CO"/>
        </w:rPr>
        <w:t xml:space="preserve"> de sesión del </w:t>
      </w:r>
      <w:r w:rsidR="00676CCD" w:rsidRPr="00646152">
        <w:rPr>
          <w:rFonts w:ascii="Arial Narrow" w:eastAsia="Century Gothic" w:hAnsi="Arial Narrow" w:cs="Arial"/>
          <w:sz w:val="24"/>
          <w:szCs w:val="24"/>
          <w:highlight w:val="white"/>
          <w:lang w:val="es-CO"/>
        </w:rPr>
        <w:t>01</w:t>
      </w:r>
      <w:r w:rsidRPr="00646152">
        <w:rPr>
          <w:rFonts w:ascii="Arial Narrow" w:eastAsia="Century Gothic" w:hAnsi="Arial Narrow" w:cs="Arial"/>
          <w:sz w:val="24"/>
          <w:szCs w:val="24"/>
          <w:highlight w:val="white"/>
          <w:lang w:val="es-CO"/>
        </w:rPr>
        <w:t xml:space="preserve"> de </w:t>
      </w:r>
      <w:proofErr w:type="gramStart"/>
      <w:r w:rsidR="00676CCD" w:rsidRPr="00646152">
        <w:rPr>
          <w:rFonts w:ascii="Arial Narrow" w:eastAsia="Century Gothic" w:hAnsi="Arial Narrow" w:cs="Arial"/>
          <w:sz w:val="24"/>
          <w:szCs w:val="24"/>
          <w:highlight w:val="white"/>
          <w:lang w:val="es-CO"/>
        </w:rPr>
        <w:t>Abril</w:t>
      </w:r>
      <w:proofErr w:type="gramEnd"/>
      <w:r w:rsidR="00676CCD" w:rsidRPr="00646152">
        <w:rPr>
          <w:rFonts w:ascii="Arial Narrow" w:eastAsia="Century Gothic" w:hAnsi="Arial Narrow" w:cs="Arial"/>
          <w:sz w:val="24"/>
          <w:szCs w:val="24"/>
          <w:highlight w:val="white"/>
          <w:lang w:val="es-CO"/>
        </w:rPr>
        <w:t xml:space="preserve"> de 2025 y en el Acta No. 41</w:t>
      </w:r>
      <w:r w:rsidR="008C0E9F" w:rsidRPr="00646152">
        <w:rPr>
          <w:rFonts w:ascii="Arial Narrow" w:eastAsia="Century Gothic" w:hAnsi="Arial Narrow" w:cs="Arial"/>
          <w:sz w:val="24"/>
          <w:szCs w:val="24"/>
          <w:highlight w:val="white"/>
          <w:lang w:val="es-CO"/>
        </w:rPr>
        <w:t xml:space="preserve"> de sesión del </w:t>
      </w:r>
      <w:r w:rsidR="00676CCD" w:rsidRPr="00646152">
        <w:rPr>
          <w:rFonts w:ascii="Arial Narrow" w:eastAsia="Century Gothic" w:hAnsi="Arial Narrow" w:cs="Arial"/>
          <w:sz w:val="24"/>
          <w:szCs w:val="24"/>
          <w:highlight w:val="white"/>
          <w:lang w:val="es-CO"/>
        </w:rPr>
        <w:t>22</w:t>
      </w:r>
      <w:r w:rsidR="008C0E9F" w:rsidRPr="00646152">
        <w:rPr>
          <w:rFonts w:ascii="Arial Narrow" w:eastAsia="Century Gothic" w:hAnsi="Arial Narrow" w:cs="Arial"/>
          <w:sz w:val="24"/>
          <w:szCs w:val="24"/>
          <w:highlight w:val="white"/>
          <w:lang w:val="es-CO"/>
        </w:rPr>
        <w:t xml:space="preserve"> de </w:t>
      </w:r>
      <w:r w:rsidR="00676CCD" w:rsidRPr="00646152">
        <w:rPr>
          <w:rFonts w:ascii="Arial Narrow" w:eastAsia="Century Gothic" w:hAnsi="Arial Narrow" w:cs="Arial"/>
          <w:sz w:val="24"/>
          <w:szCs w:val="24"/>
          <w:highlight w:val="white"/>
          <w:lang w:val="es-CO"/>
        </w:rPr>
        <w:t xml:space="preserve">Abril </w:t>
      </w:r>
      <w:r w:rsidR="008C0E9F" w:rsidRPr="00646152">
        <w:rPr>
          <w:rFonts w:ascii="Arial Narrow" w:eastAsia="Century Gothic" w:hAnsi="Arial Narrow" w:cs="Arial"/>
          <w:sz w:val="24"/>
          <w:szCs w:val="24"/>
          <w:highlight w:val="white"/>
          <w:lang w:val="es-CO"/>
        </w:rPr>
        <w:t>de 202</w:t>
      </w:r>
      <w:r w:rsidR="00676CCD" w:rsidRPr="00646152">
        <w:rPr>
          <w:rFonts w:ascii="Arial Narrow" w:eastAsia="Century Gothic" w:hAnsi="Arial Narrow" w:cs="Arial"/>
          <w:sz w:val="24"/>
          <w:szCs w:val="24"/>
          <w:highlight w:val="white"/>
          <w:lang w:val="es-CO"/>
        </w:rPr>
        <w:t>5</w:t>
      </w:r>
      <w:r w:rsidR="008C0E9F" w:rsidRPr="00646152">
        <w:rPr>
          <w:rFonts w:ascii="Arial Narrow" w:eastAsia="Century Gothic" w:hAnsi="Arial Narrow" w:cs="Arial"/>
          <w:sz w:val="24"/>
          <w:szCs w:val="24"/>
          <w:highlight w:val="white"/>
          <w:lang w:val="es-CO"/>
        </w:rPr>
        <w:t>. A</w:t>
      </w:r>
      <w:r w:rsidRPr="00646152">
        <w:rPr>
          <w:rFonts w:ascii="Arial Narrow" w:eastAsia="Century Gothic" w:hAnsi="Arial Narrow" w:cs="Arial"/>
          <w:sz w:val="24"/>
          <w:szCs w:val="24"/>
          <w:highlight w:val="white"/>
          <w:lang w:val="es-CO"/>
        </w:rPr>
        <w:t xml:space="preserve">sí mismo fue anunciado entre otras fechas el día </w:t>
      </w:r>
      <w:r w:rsidR="00676CCD" w:rsidRPr="00646152">
        <w:rPr>
          <w:rFonts w:ascii="Arial Narrow" w:eastAsia="Century Gothic" w:hAnsi="Arial Narrow" w:cs="Arial"/>
          <w:sz w:val="24"/>
          <w:szCs w:val="24"/>
          <w:highlight w:val="white"/>
          <w:lang w:val="es-CO"/>
        </w:rPr>
        <w:t>26</w:t>
      </w:r>
      <w:r w:rsidRPr="00646152">
        <w:rPr>
          <w:rFonts w:ascii="Arial Narrow" w:eastAsia="Century Gothic" w:hAnsi="Arial Narrow" w:cs="Arial"/>
          <w:sz w:val="24"/>
          <w:szCs w:val="24"/>
          <w:highlight w:val="white"/>
          <w:lang w:val="es-CO"/>
        </w:rPr>
        <w:t xml:space="preserve"> de </w:t>
      </w:r>
      <w:proofErr w:type="gramStart"/>
      <w:r w:rsidR="00676CCD" w:rsidRPr="00646152">
        <w:rPr>
          <w:rFonts w:ascii="Arial Narrow" w:eastAsia="Century Gothic" w:hAnsi="Arial Narrow" w:cs="Arial"/>
          <w:sz w:val="24"/>
          <w:szCs w:val="24"/>
          <w:highlight w:val="white"/>
          <w:lang w:val="es-CO"/>
        </w:rPr>
        <w:t>Marzo</w:t>
      </w:r>
      <w:proofErr w:type="gramEnd"/>
      <w:r w:rsidR="0026293A" w:rsidRPr="00646152">
        <w:rPr>
          <w:rFonts w:ascii="Arial Narrow" w:eastAsia="Century Gothic" w:hAnsi="Arial Narrow" w:cs="Arial"/>
          <w:sz w:val="24"/>
          <w:szCs w:val="24"/>
          <w:highlight w:val="white"/>
          <w:lang w:val="es-CO"/>
        </w:rPr>
        <w:t xml:space="preserve"> de 202</w:t>
      </w:r>
      <w:r w:rsidR="00676CCD" w:rsidRPr="00646152">
        <w:rPr>
          <w:rFonts w:ascii="Arial Narrow" w:eastAsia="Century Gothic" w:hAnsi="Arial Narrow" w:cs="Arial"/>
          <w:sz w:val="24"/>
          <w:szCs w:val="24"/>
          <w:highlight w:val="white"/>
          <w:lang w:val="es-CO"/>
        </w:rPr>
        <w:t>5</w:t>
      </w:r>
      <w:r w:rsidR="008C0E9F" w:rsidRPr="00646152">
        <w:rPr>
          <w:rFonts w:ascii="Arial Narrow" w:eastAsia="Century Gothic" w:hAnsi="Arial Narrow" w:cs="Arial"/>
          <w:sz w:val="24"/>
          <w:szCs w:val="24"/>
          <w:highlight w:val="white"/>
          <w:lang w:val="es-CO"/>
        </w:rPr>
        <w:t xml:space="preserve">, según </w:t>
      </w:r>
      <w:r w:rsidR="008C0E9F" w:rsidRPr="00646152">
        <w:rPr>
          <w:rFonts w:ascii="Arial Narrow" w:eastAsia="Century Gothic" w:hAnsi="Arial Narrow" w:cs="Arial"/>
          <w:sz w:val="24"/>
          <w:szCs w:val="24"/>
          <w:highlight w:val="white"/>
          <w:lang w:val="es-CO"/>
        </w:rPr>
        <w:lastRenderedPageBreak/>
        <w:t>consta en el A</w:t>
      </w:r>
      <w:r w:rsidRPr="00646152">
        <w:rPr>
          <w:rFonts w:ascii="Arial Narrow" w:eastAsia="Century Gothic" w:hAnsi="Arial Narrow" w:cs="Arial"/>
          <w:sz w:val="24"/>
          <w:szCs w:val="24"/>
          <w:highlight w:val="white"/>
          <w:lang w:val="es-CO"/>
        </w:rPr>
        <w:t xml:space="preserve">cta No. </w:t>
      </w:r>
      <w:r w:rsidR="00676CCD" w:rsidRPr="00646152">
        <w:rPr>
          <w:rFonts w:ascii="Arial Narrow" w:eastAsia="Century Gothic" w:hAnsi="Arial Narrow" w:cs="Arial"/>
          <w:sz w:val="24"/>
          <w:szCs w:val="24"/>
          <w:highlight w:val="white"/>
          <w:lang w:val="es-CO"/>
        </w:rPr>
        <w:t>37</w:t>
      </w:r>
      <w:r w:rsidRPr="00646152">
        <w:rPr>
          <w:rFonts w:ascii="Arial Narrow" w:eastAsia="Century Gothic" w:hAnsi="Arial Narrow" w:cs="Arial"/>
          <w:sz w:val="24"/>
          <w:szCs w:val="24"/>
          <w:highlight w:val="white"/>
          <w:lang w:val="es-CO"/>
        </w:rPr>
        <w:t xml:space="preserve"> de sesión de esa misma fecha</w:t>
      </w:r>
      <w:r w:rsidR="008C0E9F" w:rsidRPr="00646152">
        <w:rPr>
          <w:rFonts w:ascii="Arial Narrow" w:eastAsia="Century Gothic" w:hAnsi="Arial Narrow" w:cs="Arial"/>
          <w:sz w:val="24"/>
          <w:szCs w:val="24"/>
          <w:highlight w:val="white"/>
          <w:lang w:val="es-CO"/>
        </w:rPr>
        <w:t xml:space="preserve"> y el </w:t>
      </w:r>
      <w:r w:rsidR="00676CCD" w:rsidRPr="00646152">
        <w:rPr>
          <w:rFonts w:ascii="Arial Narrow" w:eastAsia="Century Gothic" w:hAnsi="Arial Narrow" w:cs="Arial"/>
          <w:sz w:val="24"/>
          <w:szCs w:val="24"/>
          <w:highlight w:val="white"/>
          <w:lang w:val="es-CO"/>
        </w:rPr>
        <w:t>07</w:t>
      </w:r>
      <w:r w:rsidR="008C0E9F" w:rsidRPr="00646152">
        <w:rPr>
          <w:rFonts w:ascii="Arial Narrow" w:eastAsia="Century Gothic" w:hAnsi="Arial Narrow" w:cs="Arial"/>
          <w:sz w:val="24"/>
          <w:szCs w:val="24"/>
          <w:highlight w:val="white"/>
          <w:lang w:val="es-CO"/>
        </w:rPr>
        <w:t xml:space="preserve"> de </w:t>
      </w:r>
      <w:r w:rsidR="00676CCD" w:rsidRPr="00646152">
        <w:rPr>
          <w:rFonts w:ascii="Arial Narrow" w:eastAsia="Century Gothic" w:hAnsi="Arial Narrow" w:cs="Arial"/>
          <w:sz w:val="24"/>
          <w:szCs w:val="24"/>
          <w:highlight w:val="white"/>
          <w:lang w:val="es-CO"/>
        </w:rPr>
        <w:t xml:space="preserve">Abril </w:t>
      </w:r>
      <w:r w:rsidR="008C0E9F" w:rsidRPr="00646152">
        <w:rPr>
          <w:rFonts w:ascii="Arial Narrow" w:eastAsia="Century Gothic" w:hAnsi="Arial Narrow" w:cs="Arial"/>
          <w:sz w:val="24"/>
          <w:szCs w:val="24"/>
          <w:highlight w:val="white"/>
          <w:lang w:val="es-CO"/>
        </w:rPr>
        <w:t>de 202</w:t>
      </w:r>
      <w:r w:rsidR="00676CCD" w:rsidRPr="00646152">
        <w:rPr>
          <w:rFonts w:ascii="Arial Narrow" w:eastAsia="Century Gothic" w:hAnsi="Arial Narrow" w:cs="Arial"/>
          <w:sz w:val="24"/>
          <w:szCs w:val="24"/>
          <w:highlight w:val="white"/>
          <w:lang w:val="es-CO"/>
        </w:rPr>
        <w:t>5</w:t>
      </w:r>
      <w:r w:rsidR="008C0E9F" w:rsidRPr="00646152">
        <w:rPr>
          <w:rFonts w:ascii="Arial Narrow" w:eastAsia="Century Gothic" w:hAnsi="Arial Narrow" w:cs="Arial"/>
          <w:sz w:val="24"/>
          <w:szCs w:val="24"/>
          <w:highlight w:val="white"/>
          <w:lang w:val="es-CO"/>
        </w:rPr>
        <w:t xml:space="preserve">, según consta en el Acta No. </w:t>
      </w:r>
      <w:r w:rsidR="00676CCD" w:rsidRPr="00646152">
        <w:rPr>
          <w:rFonts w:ascii="Arial Narrow" w:eastAsia="Century Gothic" w:hAnsi="Arial Narrow" w:cs="Arial"/>
          <w:sz w:val="24"/>
          <w:szCs w:val="24"/>
          <w:highlight w:val="white"/>
          <w:lang w:val="es-CO"/>
        </w:rPr>
        <w:t>40</w:t>
      </w:r>
      <w:r w:rsidR="008C0E9F" w:rsidRPr="00646152">
        <w:rPr>
          <w:rFonts w:ascii="Arial Narrow" w:eastAsia="Century Gothic" w:hAnsi="Arial Narrow" w:cs="Arial"/>
          <w:sz w:val="24"/>
          <w:szCs w:val="24"/>
          <w:highlight w:val="white"/>
          <w:lang w:val="es-CO"/>
        </w:rPr>
        <w:t xml:space="preserve"> de sesión de esa misma fecha</w:t>
      </w:r>
      <w:r w:rsidRPr="00646152">
        <w:rPr>
          <w:rFonts w:ascii="Arial Narrow" w:eastAsia="Century Gothic" w:hAnsi="Arial Narrow" w:cs="Arial"/>
          <w:sz w:val="24"/>
          <w:szCs w:val="24"/>
          <w:highlight w:val="white"/>
          <w:lang w:val="es-CO"/>
        </w:rPr>
        <w:t>.</w:t>
      </w:r>
    </w:p>
    <w:p w14:paraId="7F75B2EB" w14:textId="77777777" w:rsidR="007E619D" w:rsidRPr="00646152" w:rsidRDefault="007E619D" w:rsidP="00227784">
      <w:pPr>
        <w:tabs>
          <w:tab w:val="left" w:pos="4820"/>
        </w:tabs>
        <w:spacing w:after="0" w:line="240" w:lineRule="auto"/>
        <w:rPr>
          <w:rFonts w:ascii="Arial Narrow" w:eastAsia="Century Gothic" w:hAnsi="Arial Narrow" w:cs="Arial"/>
          <w:sz w:val="24"/>
          <w:szCs w:val="24"/>
          <w:highlight w:val="white"/>
          <w:lang w:val="es-CO"/>
        </w:rPr>
      </w:pPr>
    </w:p>
    <w:p w14:paraId="668A39D7" w14:textId="77777777" w:rsidR="007E619D" w:rsidRPr="00646152" w:rsidRDefault="007E619D" w:rsidP="007E619D">
      <w:pPr>
        <w:tabs>
          <w:tab w:val="left" w:pos="4820"/>
        </w:tabs>
        <w:spacing w:after="0" w:line="240" w:lineRule="auto"/>
        <w:rPr>
          <w:rFonts w:ascii="Arial Narrow" w:eastAsia="Century Gothic" w:hAnsi="Arial Narrow" w:cs="Arial"/>
          <w:sz w:val="24"/>
          <w:szCs w:val="24"/>
          <w:highlight w:val="white"/>
          <w:lang w:val="es-CO"/>
        </w:rPr>
      </w:pPr>
    </w:p>
    <w:p w14:paraId="5FD9E656" w14:textId="77777777" w:rsidR="007E619D" w:rsidRPr="00646152" w:rsidRDefault="007E619D" w:rsidP="007E619D">
      <w:pPr>
        <w:tabs>
          <w:tab w:val="left" w:pos="4820"/>
        </w:tabs>
        <w:spacing w:after="0" w:line="240" w:lineRule="auto"/>
        <w:rPr>
          <w:rFonts w:ascii="Arial Narrow" w:eastAsia="Century Gothic" w:hAnsi="Arial Narrow" w:cs="Arial"/>
          <w:sz w:val="24"/>
          <w:szCs w:val="24"/>
          <w:highlight w:val="white"/>
          <w:lang w:val="es-CO"/>
        </w:rPr>
      </w:pPr>
    </w:p>
    <w:p w14:paraId="45666D66" w14:textId="77777777" w:rsidR="007E619D" w:rsidRPr="00646152" w:rsidRDefault="007E619D" w:rsidP="007E619D">
      <w:pPr>
        <w:tabs>
          <w:tab w:val="left" w:pos="4820"/>
        </w:tabs>
        <w:spacing w:after="0" w:line="240" w:lineRule="auto"/>
        <w:rPr>
          <w:rFonts w:ascii="Arial Narrow" w:eastAsia="Century Gothic" w:hAnsi="Arial Narrow" w:cs="Arial"/>
          <w:sz w:val="24"/>
          <w:szCs w:val="24"/>
          <w:highlight w:val="white"/>
          <w:lang w:val="es-CO"/>
        </w:rPr>
      </w:pPr>
    </w:p>
    <w:p w14:paraId="057FBB13" w14:textId="29354BE0" w:rsidR="007E619D" w:rsidRPr="00646152" w:rsidRDefault="00676CCD" w:rsidP="007E619D">
      <w:pPr>
        <w:tabs>
          <w:tab w:val="left" w:pos="4820"/>
        </w:tabs>
        <w:spacing w:after="0" w:line="240" w:lineRule="auto"/>
        <w:rPr>
          <w:rFonts w:ascii="Arial Narrow" w:eastAsia="Century Gothic" w:hAnsi="Arial Narrow" w:cs="Arial"/>
          <w:sz w:val="24"/>
          <w:szCs w:val="24"/>
          <w:highlight w:val="white"/>
          <w:lang w:val="es-CO"/>
        </w:rPr>
      </w:pPr>
      <w:r w:rsidRPr="00646152">
        <w:rPr>
          <w:rFonts w:ascii="Arial Narrow" w:eastAsia="Century Gothic" w:hAnsi="Arial Narrow" w:cs="Arial"/>
          <w:b/>
          <w:sz w:val="24"/>
          <w:szCs w:val="24"/>
          <w:highlight w:val="white"/>
          <w:lang w:val="es-CO"/>
        </w:rPr>
        <w:t>JORGE A. OCAMPO GIRALDO</w:t>
      </w:r>
      <w:r w:rsidR="007E619D" w:rsidRPr="00646152">
        <w:rPr>
          <w:rFonts w:ascii="Arial Narrow" w:eastAsia="Century Gothic" w:hAnsi="Arial Narrow" w:cs="Arial"/>
          <w:b/>
          <w:sz w:val="24"/>
          <w:szCs w:val="24"/>
          <w:highlight w:val="white"/>
          <w:lang w:val="es-CO"/>
        </w:rPr>
        <w:tab/>
      </w:r>
      <w:r w:rsidR="0026293A" w:rsidRPr="00646152">
        <w:rPr>
          <w:rFonts w:ascii="Arial Narrow" w:eastAsia="Century Gothic" w:hAnsi="Arial Narrow" w:cs="Arial"/>
          <w:b/>
          <w:sz w:val="24"/>
          <w:szCs w:val="24"/>
          <w:highlight w:val="white"/>
          <w:lang w:val="es-CO"/>
        </w:rPr>
        <w:t>ANA PAOLA GARCÍA SOTO</w:t>
      </w:r>
      <w:r w:rsidR="007E619D" w:rsidRPr="00646152">
        <w:rPr>
          <w:rFonts w:ascii="Arial Narrow" w:eastAsia="Century Gothic" w:hAnsi="Arial Narrow" w:cs="Arial"/>
          <w:b/>
          <w:sz w:val="24"/>
          <w:szCs w:val="24"/>
          <w:highlight w:val="white"/>
        </w:rPr>
        <w:t xml:space="preserve"> </w:t>
      </w:r>
    </w:p>
    <w:p w14:paraId="1038734A" w14:textId="64E74BCA" w:rsidR="007E619D" w:rsidRPr="00646152" w:rsidRDefault="007E619D" w:rsidP="007E619D">
      <w:pPr>
        <w:tabs>
          <w:tab w:val="left" w:pos="4820"/>
        </w:tabs>
        <w:spacing w:after="0" w:line="240" w:lineRule="auto"/>
        <w:rPr>
          <w:rFonts w:ascii="Arial Narrow" w:eastAsia="Century Gothic" w:hAnsi="Arial Narrow" w:cs="Arial"/>
          <w:sz w:val="24"/>
          <w:szCs w:val="24"/>
          <w:highlight w:val="white"/>
          <w:lang w:val="es-CO"/>
        </w:rPr>
      </w:pPr>
      <w:r w:rsidRPr="00646152">
        <w:rPr>
          <w:rFonts w:ascii="Arial Narrow" w:eastAsia="Century Gothic" w:hAnsi="Arial Narrow" w:cs="Arial"/>
          <w:sz w:val="24"/>
          <w:szCs w:val="24"/>
          <w:highlight w:val="white"/>
          <w:lang w:val="es-CO"/>
        </w:rPr>
        <w:t xml:space="preserve">Ponente Coordinador                </w:t>
      </w:r>
      <w:r w:rsidR="0026293A" w:rsidRPr="00646152">
        <w:rPr>
          <w:rFonts w:ascii="Arial Narrow" w:eastAsia="Century Gothic" w:hAnsi="Arial Narrow" w:cs="Arial"/>
          <w:sz w:val="24"/>
          <w:szCs w:val="24"/>
          <w:highlight w:val="white"/>
          <w:lang w:val="es-CO"/>
        </w:rPr>
        <w:t xml:space="preserve">                    </w:t>
      </w:r>
      <w:r w:rsidR="00CC6BEA">
        <w:rPr>
          <w:rFonts w:ascii="Arial Narrow" w:eastAsia="Century Gothic" w:hAnsi="Arial Narrow" w:cs="Arial"/>
          <w:sz w:val="24"/>
          <w:szCs w:val="24"/>
          <w:highlight w:val="white"/>
          <w:lang w:val="es-CO"/>
        </w:rPr>
        <w:t xml:space="preserve">                  </w:t>
      </w:r>
      <w:r w:rsidR="0026293A" w:rsidRPr="00646152">
        <w:rPr>
          <w:rFonts w:ascii="Arial Narrow" w:eastAsia="Century Gothic" w:hAnsi="Arial Narrow" w:cs="Arial"/>
          <w:sz w:val="24"/>
          <w:szCs w:val="24"/>
          <w:highlight w:val="white"/>
          <w:lang w:val="es-CO"/>
        </w:rPr>
        <w:t>Presidenta</w:t>
      </w:r>
    </w:p>
    <w:p w14:paraId="7CBA3599" w14:textId="0EA71C5B" w:rsidR="00236F89" w:rsidRPr="00646152" w:rsidRDefault="00236F89" w:rsidP="00AD51EA">
      <w:pPr>
        <w:tabs>
          <w:tab w:val="left" w:pos="4820"/>
        </w:tabs>
        <w:spacing w:after="0" w:line="240" w:lineRule="auto"/>
        <w:rPr>
          <w:rFonts w:ascii="Arial Narrow" w:eastAsia="Century Gothic" w:hAnsi="Arial Narrow" w:cs="Century Gothic"/>
          <w:sz w:val="24"/>
          <w:szCs w:val="24"/>
          <w:highlight w:val="white"/>
          <w:lang w:val="es-CO"/>
        </w:rPr>
      </w:pPr>
    </w:p>
    <w:p w14:paraId="3BF78695" w14:textId="21F2CC76" w:rsidR="00236F89" w:rsidRPr="00646152" w:rsidRDefault="00236F89" w:rsidP="00AD51EA">
      <w:pPr>
        <w:tabs>
          <w:tab w:val="left" w:pos="4820"/>
        </w:tabs>
        <w:spacing w:after="0" w:line="240" w:lineRule="auto"/>
        <w:rPr>
          <w:rFonts w:ascii="Arial Narrow" w:eastAsia="Century Gothic" w:hAnsi="Arial Narrow" w:cs="Century Gothic"/>
          <w:sz w:val="24"/>
          <w:szCs w:val="24"/>
          <w:highlight w:val="white"/>
          <w:lang w:val="es-CO"/>
        </w:rPr>
      </w:pPr>
    </w:p>
    <w:p w14:paraId="618D861A" w14:textId="0D5E7E72" w:rsidR="00DF2F74" w:rsidRPr="00646152" w:rsidRDefault="00DF2F74" w:rsidP="00AD51EA">
      <w:pPr>
        <w:tabs>
          <w:tab w:val="left" w:pos="4820"/>
        </w:tabs>
        <w:spacing w:after="0" w:line="240" w:lineRule="auto"/>
        <w:rPr>
          <w:rFonts w:ascii="Arial Narrow" w:eastAsia="Century Gothic" w:hAnsi="Arial Narrow" w:cs="Century Gothic"/>
          <w:sz w:val="24"/>
          <w:szCs w:val="24"/>
          <w:highlight w:val="white"/>
          <w:lang w:val="es-CO"/>
        </w:rPr>
      </w:pPr>
    </w:p>
    <w:p w14:paraId="5DDDE33D" w14:textId="77777777" w:rsidR="006F017F" w:rsidRPr="00646152" w:rsidRDefault="006F017F" w:rsidP="006F017F">
      <w:pPr>
        <w:tabs>
          <w:tab w:val="left" w:pos="4820"/>
        </w:tabs>
        <w:jc w:val="center"/>
        <w:rPr>
          <w:rFonts w:ascii="Arial Narrow" w:eastAsia="Century Gothic" w:hAnsi="Arial Narrow" w:cs="Century Gothic"/>
          <w:sz w:val="24"/>
          <w:szCs w:val="24"/>
          <w:highlight w:val="white"/>
          <w:lang w:val="es-CO"/>
        </w:rPr>
      </w:pPr>
    </w:p>
    <w:p w14:paraId="2451FF04" w14:textId="77777777" w:rsidR="006F017F" w:rsidRPr="00646152" w:rsidRDefault="00AD51EA" w:rsidP="00D07AF9">
      <w:pPr>
        <w:tabs>
          <w:tab w:val="left" w:pos="4820"/>
        </w:tabs>
        <w:spacing w:after="0" w:line="240" w:lineRule="auto"/>
        <w:jc w:val="center"/>
        <w:rPr>
          <w:rFonts w:ascii="Arial Narrow" w:eastAsia="Century Gothic" w:hAnsi="Arial Narrow" w:cs="Century Gothic"/>
          <w:sz w:val="24"/>
          <w:szCs w:val="24"/>
          <w:highlight w:val="white"/>
          <w:lang w:val="es-CO"/>
        </w:rPr>
      </w:pPr>
      <w:r w:rsidRPr="00646152">
        <w:rPr>
          <w:rFonts w:ascii="Arial Narrow" w:eastAsia="Century Gothic" w:hAnsi="Arial Narrow" w:cs="Century Gothic"/>
          <w:b/>
          <w:sz w:val="24"/>
          <w:szCs w:val="24"/>
          <w:highlight w:val="white"/>
          <w:lang w:val="es-CO"/>
        </w:rPr>
        <w:t>AMPARO YANETH CALDERON PERDOMO</w:t>
      </w:r>
    </w:p>
    <w:p w14:paraId="23AACEEE" w14:textId="78B0F46C" w:rsidR="004752D7" w:rsidRPr="00646152" w:rsidRDefault="004752D7" w:rsidP="00D07AF9">
      <w:pPr>
        <w:tabs>
          <w:tab w:val="left" w:pos="4820"/>
        </w:tabs>
        <w:spacing w:after="0" w:line="240" w:lineRule="auto"/>
        <w:jc w:val="center"/>
        <w:rPr>
          <w:rFonts w:ascii="Arial Narrow" w:eastAsia="Century Gothic" w:hAnsi="Arial Narrow" w:cs="Century Gothic"/>
          <w:sz w:val="24"/>
          <w:szCs w:val="24"/>
          <w:highlight w:val="white"/>
          <w:lang w:val="es-CO"/>
        </w:rPr>
      </w:pPr>
      <w:r w:rsidRPr="00646152">
        <w:rPr>
          <w:rFonts w:ascii="Arial Narrow" w:eastAsia="Century Gothic" w:hAnsi="Arial Narrow" w:cs="Century Gothic"/>
          <w:sz w:val="24"/>
          <w:szCs w:val="24"/>
          <w:highlight w:val="white"/>
          <w:lang w:val="es-CO"/>
        </w:rPr>
        <w:t>Secretaria</w:t>
      </w:r>
    </w:p>
    <w:p w14:paraId="60946FD0" w14:textId="77777777" w:rsidR="00BC3E4B" w:rsidRPr="00646152" w:rsidRDefault="00BC3E4B">
      <w:pPr>
        <w:jc w:val="both"/>
        <w:rPr>
          <w:rFonts w:ascii="Arial Narrow" w:eastAsia="Century Gothic" w:hAnsi="Arial Narrow" w:cs="Century Gothic"/>
          <w:sz w:val="24"/>
          <w:szCs w:val="24"/>
          <w:highlight w:val="white"/>
        </w:rPr>
      </w:pPr>
    </w:p>
    <w:p w14:paraId="703C75BA" w14:textId="77777777" w:rsidR="00F7426C" w:rsidRPr="003A56A7" w:rsidRDefault="00F7426C">
      <w:pPr>
        <w:jc w:val="both"/>
        <w:rPr>
          <w:rFonts w:ascii="Arial Rounded MT Bold" w:eastAsia="Century Gothic" w:hAnsi="Arial Rounded MT Bold" w:cs="Century Gothic"/>
          <w:sz w:val="24"/>
          <w:szCs w:val="24"/>
        </w:rPr>
      </w:pPr>
    </w:p>
    <w:sectPr w:rsidR="00F7426C" w:rsidRPr="003A56A7" w:rsidSect="00CC6BEA">
      <w:headerReference w:type="default" r:id="rId9"/>
      <w:footerReference w:type="even" r:id="rId10"/>
      <w:footerReference w:type="default" r:id="rId11"/>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77DE0" w14:textId="77777777" w:rsidR="003E1C8E" w:rsidRDefault="003E1C8E">
      <w:pPr>
        <w:spacing w:after="0" w:line="240" w:lineRule="auto"/>
      </w:pPr>
      <w:r>
        <w:separator/>
      </w:r>
    </w:p>
  </w:endnote>
  <w:endnote w:type="continuationSeparator" w:id="0">
    <w:p w14:paraId="0CD1FCD7" w14:textId="77777777" w:rsidR="003E1C8E" w:rsidRDefault="003E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1"/>
    <w:family w:val="swiss"/>
    <w:pitch w:val="variable"/>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A484F" w14:textId="77777777" w:rsidR="00836CBD" w:rsidRDefault="00836CBD">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24B459" w14:textId="77777777" w:rsidR="00836CBD" w:rsidRDefault="00836CBD">
    <w:pPr>
      <w:pBdr>
        <w:top w:val="nil"/>
        <w:left w:val="nil"/>
        <w:bottom w:val="nil"/>
        <w:right w:val="nil"/>
        <w:between w:val="nil"/>
      </w:pBdr>
      <w:tabs>
        <w:tab w:val="center" w:pos="4419"/>
        <w:tab w:val="right" w:pos="8838"/>
      </w:tabs>
      <w:spacing w:after="0" w:line="240" w:lineRule="auto"/>
      <w:ind w:right="360"/>
      <w:rPr>
        <w:color w:val="000000"/>
      </w:rPr>
    </w:pPr>
  </w:p>
  <w:p w14:paraId="6B55772C" w14:textId="77777777" w:rsidR="00836CBD" w:rsidRDefault="00836CBD"/>
  <w:p w14:paraId="0401D77B" w14:textId="77777777" w:rsidR="00836CBD" w:rsidRDefault="00836C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52949"/>
      <w:docPartObj>
        <w:docPartGallery w:val="Page Numbers (Bottom of Page)"/>
        <w:docPartUnique/>
      </w:docPartObj>
    </w:sdtPr>
    <w:sdtEndPr/>
    <w:sdtContent>
      <w:p w14:paraId="7B4EA0C4" w14:textId="43567E64" w:rsidR="00836CBD" w:rsidRDefault="00836CBD">
        <w:pPr>
          <w:pStyle w:val="Piedepgina"/>
          <w:jc w:val="right"/>
        </w:pPr>
        <w:r>
          <w:fldChar w:fldCharType="begin"/>
        </w:r>
        <w:r>
          <w:instrText>PAGE   \* MERGEFORMAT</w:instrText>
        </w:r>
        <w:r>
          <w:fldChar w:fldCharType="separate"/>
        </w:r>
        <w:r w:rsidR="00CC6BEA" w:rsidRPr="00CC6BEA">
          <w:rPr>
            <w:noProof/>
            <w:lang w:val="es-ES"/>
          </w:rPr>
          <w:t>2</w:t>
        </w:r>
        <w:r>
          <w:fldChar w:fldCharType="end"/>
        </w:r>
      </w:p>
    </w:sdtContent>
  </w:sdt>
  <w:p w14:paraId="43D26565" w14:textId="12164480" w:rsidR="00836CBD" w:rsidRDefault="00836CBD" w:rsidP="00CA7BFC">
    <w:pPr>
      <w:tabs>
        <w:tab w:val="center" w:pos="4419"/>
        <w:tab w:val="right" w:pos="8838"/>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A01B1" w14:textId="77777777" w:rsidR="003E1C8E" w:rsidRDefault="003E1C8E">
      <w:pPr>
        <w:spacing w:after="0" w:line="240" w:lineRule="auto"/>
      </w:pPr>
      <w:r>
        <w:separator/>
      </w:r>
    </w:p>
  </w:footnote>
  <w:footnote w:type="continuationSeparator" w:id="0">
    <w:p w14:paraId="1F8A53CC" w14:textId="77777777" w:rsidR="003E1C8E" w:rsidRDefault="003E1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ABFA" w14:textId="35D96875" w:rsidR="00836CBD" w:rsidRPr="00CA7BFC" w:rsidRDefault="00836CBD" w:rsidP="00CA7BFC">
    <w:pPr>
      <w:pStyle w:val="Encabezado"/>
      <w:jc w:val="center"/>
    </w:pPr>
    <w:r>
      <w:rPr>
        <w:noProof/>
        <w:lang w:val="es-CO" w:eastAsia="es-CO"/>
      </w:rPr>
      <w:drawing>
        <wp:inline distT="0" distB="0" distL="0" distR="0" wp14:anchorId="36560F55" wp14:editId="7089265F">
          <wp:extent cx="2354580" cy="678180"/>
          <wp:effectExtent l="0" t="0" r="7620" b="7620"/>
          <wp:docPr id="20" name="Imagen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p w14:paraId="2A2C9000" w14:textId="77777777" w:rsidR="00836CBD" w:rsidRDefault="00836CBD"/>
  <w:p w14:paraId="1FD89CDB" w14:textId="77777777" w:rsidR="00836CBD" w:rsidRDefault="00836CB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456"/>
    <w:multiLevelType w:val="multilevel"/>
    <w:tmpl w:val="358A4616"/>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DF04250"/>
    <w:multiLevelType w:val="multilevel"/>
    <w:tmpl w:val="CA268C52"/>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33C7FE0"/>
    <w:multiLevelType w:val="multilevel"/>
    <w:tmpl w:val="E1344BEC"/>
    <w:lvl w:ilvl="0">
      <w:start w:val="1"/>
      <w:numFmt w:val="decimal"/>
      <w:lvlText w:val="%1."/>
      <w:lvlJc w:val="left"/>
      <w:pPr>
        <w:ind w:left="720" w:hanging="360"/>
      </w:pPr>
      <w:rPr>
        <w:rFonts w:ascii="Calibri" w:hAnsi="Calibri" w:cs="Calibr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44C3493"/>
    <w:multiLevelType w:val="multilevel"/>
    <w:tmpl w:val="111CDE2A"/>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28F4C73"/>
    <w:multiLevelType w:val="multilevel"/>
    <w:tmpl w:val="39D2AEB4"/>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0BC757D"/>
    <w:multiLevelType w:val="multilevel"/>
    <w:tmpl w:val="54221554"/>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16A078E"/>
    <w:multiLevelType w:val="multilevel"/>
    <w:tmpl w:val="EB269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71E5DB3"/>
    <w:multiLevelType w:val="multilevel"/>
    <w:tmpl w:val="39D2AEB4"/>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08D4942"/>
    <w:multiLevelType w:val="multilevel"/>
    <w:tmpl w:val="358A4616"/>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1856F42"/>
    <w:multiLevelType w:val="multilevel"/>
    <w:tmpl w:val="39D2AEB4"/>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533169A"/>
    <w:multiLevelType w:val="multilevel"/>
    <w:tmpl w:val="42EE30EC"/>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DB33CA4"/>
    <w:multiLevelType w:val="multilevel"/>
    <w:tmpl w:val="358A4616"/>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47915BE"/>
    <w:multiLevelType w:val="multilevel"/>
    <w:tmpl w:val="39D2AEB4"/>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11"/>
  </w:num>
  <w:num w:numId="3">
    <w:abstractNumId w:val="6"/>
  </w:num>
  <w:num w:numId="4">
    <w:abstractNumId w:val="1"/>
  </w:num>
  <w:num w:numId="5">
    <w:abstractNumId w:val="10"/>
  </w:num>
  <w:num w:numId="6">
    <w:abstractNumId w:val="2"/>
  </w:num>
  <w:num w:numId="7">
    <w:abstractNumId w:val="4"/>
  </w:num>
  <w:num w:numId="8">
    <w:abstractNumId w:val="3"/>
  </w:num>
  <w:num w:numId="9">
    <w:abstractNumId w:val="7"/>
  </w:num>
  <w:num w:numId="10">
    <w:abstractNumId w:val="9"/>
  </w:num>
  <w:num w:numId="11">
    <w:abstractNumId w:val="12"/>
  </w:num>
  <w:num w:numId="12">
    <w:abstractNumId w:val="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B"/>
    <w:rsid w:val="00004CD9"/>
    <w:rsid w:val="0000578F"/>
    <w:rsid w:val="00006C04"/>
    <w:rsid w:val="00007088"/>
    <w:rsid w:val="00024E67"/>
    <w:rsid w:val="00027FAB"/>
    <w:rsid w:val="00033443"/>
    <w:rsid w:val="00067A21"/>
    <w:rsid w:val="000902F6"/>
    <w:rsid w:val="000A283A"/>
    <w:rsid w:val="000A412C"/>
    <w:rsid w:val="000B61F9"/>
    <w:rsid w:val="000D5BC1"/>
    <w:rsid w:val="000D7330"/>
    <w:rsid w:val="000E5DC9"/>
    <w:rsid w:val="000F29C4"/>
    <w:rsid w:val="000F6059"/>
    <w:rsid w:val="00116A80"/>
    <w:rsid w:val="001303B7"/>
    <w:rsid w:val="0013595E"/>
    <w:rsid w:val="00141E9A"/>
    <w:rsid w:val="00147335"/>
    <w:rsid w:val="00150F01"/>
    <w:rsid w:val="00172CCA"/>
    <w:rsid w:val="00172E90"/>
    <w:rsid w:val="001778F7"/>
    <w:rsid w:val="00182924"/>
    <w:rsid w:val="001931DC"/>
    <w:rsid w:val="00194732"/>
    <w:rsid w:val="0019493F"/>
    <w:rsid w:val="00194A32"/>
    <w:rsid w:val="001A1496"/>
    <w:rsid w:val="001B50EC"/>
    <w:rsid w:val="001B5ECF"/>
    <w:rsid w:val="001B7E8F"/>
    <w:rsid w:val="001C7D3C"/>
    <w:rsid w:val="001E295C"/>
    <w:rsid w:val="001F7274"/>
    <w:rsid w:val="001F7B4F"/>
    <w:rsid w:val="00225052"/>
    <w:rsid w:val="00227784"/>
    <w:rsid w:val="00236453"/>
    <w:rsid w:val="00236F89"/>
    <w:rsid w:val="002437A7"/>
    <w:rsid w:val="00243FDF"/>
    <w:rsid w:val="00246D97"/>
    <w:rsid w:val="00247B5E"/>
    <w:rsid w:val="002619F2"/>
    <w:rsid w:val="0026293A"/>
    <w:rsid w:val="0026503A"/>
    <w:rsid w:val="0026752F"/>
    <w:rsid w:val="00276C64"/>
    <w:rsid w:val="0029234A"/>
    <w:rsid w:val="00295EE4"/>
    <w:rsid w:val="002A050B"/>
    <w:rsid w:val="002A4258"/>
    <w:rsid w:val="002A5E31"/>
    <w:rsid w:val="002B056F"/>
    <w:rsid w:val="002B15AE"/>
    <w:rsid w:val="002B15ED"/>
    <w:rsid w:val="002B3A30"/>
    <w:rsid w:val="002F1D61"/>
    <w:rsid w:val="00303DF2"/>
    <w:rsid w:val="00307FDB"/>
    <w:rsid w:val="00315734"/>
    <w:rsid w:val="00321B83"/>
    <w:rsid w:val="00340EFF"/>
    <w:rsid w:val="003437D7"/>
    <w:rsid w:val="003510CB"/>
    <w:rsid w:val="00365F84"/>
    <w:rsid w:val="00383D32"/>
    <w:rsid w:val="003941C4"/>
    <w:rsid w:val="003A213A"/>
    <w:rsid w:val="003A49A1"/>
    <w:rsid w:val="003A56A7"/>
    <w:rsid w:val="003B2913"/>
    <w:rsid w:val="003E1021"/>
    <w:rsid w:val="003E1C8E"/>
    <w:rsid w:val="003E75DB"/>
    <w:rsid w:val="00405A9E"/>
    <w:rsid w:val="004200DB"/>
    <w:rsid w:val="00421677"/>
    <w:rsid w:val="0043131B"/>
    <w:rsid w:val="004336EE"/>
    <w:rsid w:val="00436FA1"/>
    <w:rsid w:val="00442EDF"/>
    <w:rsid w:val="004752D7"/>
    <w:rsid w:val="00491DCE"/>
    <w:rsid w:val="0049278A"/>
    <w:rsid w:val="00495D1E"/>
    <w:rsid w:val="004B7582"/>
    <w:rsid w:val="004D030A"/>
    <w:rsid w:val="004D2B0A"/>
    <w:rsid w:val="004D4CEF"/>
    <w:rsid w:val="004E6CD8"/>
    <w:rsid w:val="004F6461"/>
    <w:rsid w:val="004F6E90"/>
    <w:rsid w:val="00507CA6"/>
    <w:rsid w:val="00510B8D"/>
    <w:rsid w:val="00510F07"/>
    <w:rsid w:val="00524298"/>
    <w:rsid w:val="00525502"/>
    <w:rsid w:val="00532309"/>
    <w:rsid w:val="005378E9"/>
    <w:rsid w:val="00552946"/>
    <w:rsid w:val="00555607"/>
    <w:rsid w:val="00570C05"/>
    <w:rsid w:val="005754BA"/>
    <w:rsid w:val="00577529"/>
    <w:rsid w:val="005818F7"/>
    <w:rsid w:val="00593BA6"/>
    <w:rsid w:val="005B0F1A"/>
    <w:rsid w:val="005B728D"/>
    <w:rsid w:val="005C6FD5"/>
    <w:rsid w:val="005D177C"/>
    <w:rsid w:val="005E62E3"/>
    <w:rsid w:val="005F0222"/>
    <w:rsid w:val="005F7A53"/>
    <w:rsid w:val="00600635"/>
    <w:rsid w:val="006013AA"/>
    <w:rsid w:val="00622BA5"/>
    <w:rsid w:val="0063210B"/>
    <w:rsid w:val="0063590E"/>
    <w:rsid w:val="00642606"/>
    <w:rsid w:val="00646152"/>
    <w:rsid w:val="00652DA7"/>
    <w:rsid w:val="0065723A"/>
    <w:rsid w:val="00660998"/>
    <w:rsid w:val="00660B74"/>
    <w:rsid w:val="00662D81"/>
    <w:rsid w:val="006667B4"/>
    <w:rsid w:val="0067059F"/>
    <w:rsid w:val="00673CFA"/>
    <w:rsid w:val="00676CCD"/>
    <w:rsid w:val="00682B72"/>
    <w:rsid w:val="006852F4"/>
    <w:rsid w:val="006942BD"/>
    <w:rsid w:val="006A2B87"/>
    <w:rsid w:val="006B1F0F"/>
    <w:rsid w:val="006B3D11"/>
    <w:rsid w:val="006C39A6"/>
    <w:rsid w:val="006C62C6"/>
    <w:rsid w:val="006C6EE4"/>
    <w:rsid w:val="006D3CF8"/>
    <w:rsid w:val="006E4384"/>
    <w:rsid w:val="006F017F"/>
    <w:rsid w:val="00702517"/>
    <w:rsid w:val="007167FA"/>
    <w:rsid w:val="0073136B"/>
    <w:rsid w:val="0073728D"/>
    <w:rsid w:val="00742066"/>
    <w:rsid w:val="00747CD3"/>
    <w:rsid w:val="00762755"/>
    <w:rsid w:val="00771A2E"/>
    <w:rsid w:val="007725F5"/>
    <w:rsid w:val="00781CF3"/>
    <w:rsid w:val="00791C09"/>
    <w:rsid w:val="00797014"/>
    <w:rsid w:val="0079778B"/>
    <w:rsid w:val="007A3E37"/>
    <w:rsid w:val="007B07DC"/>
    <w:rsid w:val="007B52BE"/>
    <w:rsid w:val="007C0DA2"/>
    <w:rsid w:val="007C1E3B"/>
    <w:rsid w:val="007C6DFE"/>
    <w:rsid w:val="007C6E19"/>
    <w:rsid w:val="007D6DC1"/>
    <w:rsid w:val="007E619D"/>
    <w:rsid w:val="007F09C2"/>
    <w:rsid w:val="007F28DA"/>
    <w:rsid w:val="007F4BEC"/>
    <w:rsid w:val="00825C27"/>
    <w:rsid w:val="0082664A"/>
    <w:rsid w:val="008301D1"/>
    <w:rsid w:val="0083070F"/>
    <w:rsid w:val="00836CBD"/>
    <w:rsid w:val="008468D8"/>
    <w:rsid w:val="00856272"/>
    <w:rsid w:val="00871842"/>
    <w:rsid w:val="00873BFD"/>
    <w:rsid w:val="00875BA2"/>
    <w:rsid w:val="0088379D"/>
    <w:rsid w:val="008868FE"/>
    <w:rsid w:val="00891EF2"/>
    <w:rsid w:val="008B6AD1"/>
    <w:rsid w:val="008C0E9F"/>
    <w:rsid w:val="008C3EB2"/>
    <w:rsid w:val="008D4AD2"/>
    <w:rsid w:val="008E4A2C"/>
    <w:rsid w:val="00904F8E"/>
    <w:rsid w:val="0090529A"/>
    <w:rsid w:val="009214AB"/>
    <w:rsid w:val="00961568"/>
    <w:rsid w:val="00971BF7"/>
    <w:rsid w:val="00982A54"/>
    <w:rsid w:val="00986D25"/>
    <w:rsid w:val="00993749"/>
    <w:rsid w:val="00997B02"/>
    <w:rsid w:val="009A35B4"/>
    <w:rsid w:val="009A66DF"/>
    <w:rsid w:val="009B5108"/>
    <w:rsid w:val="009B75CE"/>
    <w:rsid w:val="009C5CF0"/>
    <w:rsid w:val="009D0B11"/>
    <w:rsid w:val="009D3EED"/>
    <w:rsid w:val="009D59D9"/>
    <w:rsid w:val="009E18F1"/>
    <w:rsid w:val="009F1DF4"/>
    <w:rsid w:val="009F76A0"/>
    <w:rsid w:val="00A00C5E"/>
    <w:rsid w:val="00A267A4"/>
    <w:rsid w:val="00A8208E"/>
    <w:rsid w:val="00A83BB7"/>
    <w:rsid w:val="00A93413"/>
    <w:rsid w:val="00AA1473"/>
    <w:rsid w:val="00AA5AD2"/>
    <w:rsid w:val="00AB2204"/>
    <w:rsid w:val="00AC2321"/>
    <w:rsid w:val="00AD3DC6"/>
    <w:rsid w:val="00AD4511"/>
    <w:rsid w:val="00AD51EA"/>
    <w:rsid w:val="00AE0BE1"/>
    <w:rsid w:val="00AE6BEB"/>
    <w:rsid w:val="00B124EA"/>
    <w:rsid w:val="00B136BA"/>
    <w:rsid w:val="00B46DCE"/>
    <w:rsid w:val="00B54BCF"/>
    <w:rsid w:val="00B63F91"/>
    <w:rsid w:val="00B82A0F"/>
    <w:rsid w:val="00B90122"/>
    <w:rsid w:val="00BA0210"/>
    <w:rsid w:val="00BB2372"/>
    <w:rsid w:val="00BB2EF2"/>
    <w:rsid w:val="00BB3694"/>
    <w:rsid w:val="00BC211F"/>
    <w:rsid w:val="00BC3E4B"/>
    <w:rsid w:val="00BD6AFC"/>
    <w:rsid w:val="00BE02D6"/>
    <w:rsid w:val="00BE0757"/>
    <w:rsid w:val="00BF2A57"/>
    <w:rsid w:val="00C1217F"/>
    <w:rsid w:val="00C207AB"/>
    <w:rsid w:val="00C618BC"/>
    <w:rsid w:val="00C7390D"/>
    <w:rsid w:val="00C76E7C"/>
    <w:rsid w:val="00C834D2"/>
    <w:rsid w:val="00C93BE4"/>
    <w:rsid w:val="00C94F86"/>
    <w:rsid w:val="00C95BD6"/>
    <w:rsid w:val="00CA0370"/>
    <w:rsid w:val="00CA4D33"/>
    <w:rsid w:val="00CA7BFC"/>
    <w:rsid w:val="00CB4828"/>
    <w:rsid w:val="00CB4B8B"/>
    <w:rsid w:val="00CC49ED"/>
    <w:rsid w:val="00CC6BEA"/>
    <w:rsid w:val="00CD211C"/>
    <w:rsid w:val="00CE088B"/>
    <w:rsid w:val="00CE4CE8"/>
    <w:rsid w:val="00CE7E1D"/>
    <w:rsid w:val="00CF40B5"/>
    <w:rsid w:val="00CF7E32"/>
    <w:rsid w:val="00D04C24"/>
    <w:rsid w:val="00D07AF9"/>
    <w:rsid w:val="00D42B91"/>
    <w:rsid w:val="00D50290"/>
    <w:rsid w:val="00D50E99"/>
    <w:rsid w:val="00D52439"/>
    <w:rsid w:val="00D627DA"/>
    <w:rsid w:val="00D847AE"/>
    <w:rsid w:val="00D90D01"/>
    <w:rsid w:val="00D93A2A"/>
    <w:rsid w:val="00D93C41"/>
    <w:rsid w:val="00D93DEC"/>
    <w:rsid w:val="00DA0898"/>
    <w:rsid w:val="00DC7280"/>
    <w:rsid w:val="00DD4878"/>
    <w:rsid w:val="00DD790F"/>
    <w:rsid w:val="00DF2F74"/>
    <w:rsid w:val="00E212C1"/>
    <w:rsid w:val="00E24D6F"/>
    <w:rsid w:val="00E47170"/>
    <w:rsid w:val="00E60B54"/>
    <w:rsid w:val="00E65366"/>
    <w:rsid w:val="00E72067"/>
    <w:rsid w:val="00E7220F"/>
    <w:rsid w:val="00E9110D"/>
    <w:rsid w:val="00E9490B"/>
    <w:rsid w:val="00EA428F"/>
    <w:rsid w:val="00EA4744"/>
    <w:rsid w:val="00EB1E2F"/>
    <w:rsid w:val="00EB49F4"/>
    <w:rsid w:val="00EB54BA"/>
    <w:rsid w:val="00EC40C8"/>
    <w:rsid w:val="00ED3091"/>
    <w:rsid w:val="00EE14AC"/>
    <w:rsid w:val="00EE411B"/>
    <w:rsid w:val="00EE4E39"/>
    <w:rsid w:val="00EE56DC"/>
    <w:rsid w:val="00EE5E3F"/>
    <w:rsid w:val="00EF5F67"/>
    <w:rsid w:val="00F10F67"/>
    <w:rsid w:val="00F23E48"/>
    <w:rsid w:val="00F26CCF"/>
    <w:rsid w:val="00F31B05"/>
    <w:rsid w:val="00F36314"/>
    <w:rsid w:val="00F36B71"/>
    <w:rsid w:val="00F37352"/>
    <w:rsid w:val="00F374D0"/>
    <w:rsid w:val="00F4385E"/>
    <w:rsid w:val="00F458BD"/>
    <w:rsid w:val="00F47891"/>
    <w:rsid w:val="00F50B48"/>
    <w:rsid w:val="00F55507"/>
    <w:rsid w:val="00F57485"/>
    <w:rsid w:val="00F7426C"/>
    <w:rsid w:val="00F839BE"/>
    <w:rsid w:val="00F9749D"/>
    <w:rsid w:val="00FA34E5"/>
    <w:rsid w:val="00FA7962"/>
    <w:rsid w:val="00FB6736"/>
    <w:rsid w:val="00FC1CBD"/>
    <w:rsid w:val="00FC6938"/>
    <w:rsid w:val="00FE5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30B"/>
  <w15:docId w15:val="{FAE069E4-AF8C-3845-80F2-18D3205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1"/>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1"/>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34"/>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customStyle="1" w:styleId="TableParagraph">
    <w:name w:val="Table Paragraph"/>
    <w:basedOn w:val="Normal"/>
    <w:uiPriority w:val="1"/>
    <w:qFormat/>
    <w:rsid w:val="00225052"/>
    <w:pPr>
      <w:widowControl w:val="0"/>
      <w:autoSpaceDE w:val="0"/>
      <w:autoSpaceDN w:val="0"/>
      <w:spacing w:after="0" w:line="240" w:lineRule="auto"/>
    </w:pPr>
    <w:rPr>
      <w:rFonts w:ascii="Constantia" w:eastAsia="Constantia" w:hAnsi="Constantia" w:cs="Constanti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4DAE74-3891-460A-AF60-E96483F3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1265</Words>
  <Characters>6962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Dora Sonia Cortes Castillo</cp:lastModifiedBy>
  <cp:revision>31</cp:revision>
  <cp:lastPrinted>2025-04-22T21:46:00Z</cp:lastPrinted>
  <dcterms:created xsi:type="dcterms:W3CDTF">2025-04-22T20:38:00Z</dcterms:created>
  <dcterms:modified xsi:type="dcterms:W3CDTF">2025-04-23T16:50:00Z</dcterms:modified>
</cp:coreProperties>
</file>